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A0D0" w14:textId="75CDF28A" w:rsidR="00412D43" w:rsidRDefault="00B374C4"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78DE81EE" wp14:editId="43063D08">
            <wp:simplePos x="0" y="0"/>
            <wp:positionH relativeFrom="margin">
              <wp:posOffset>2194560</wp:posOffset>
            </wp:positionH>
            <wp:positionV relativeFrom="margin">
              <wp:posOffset>-533400</wp:posOffset>
            </wp:positionV>
            <wp:extent cx="1371600" cy="1371600"/>
            <wp:effectExtent l="0" t="0" r="0" b="0"/>
            <wp:wrapSquare wrapText="bothSides"/>
            <wp:docPr id="149094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4591" name="Picture 1490945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693FDFC3" w14:textId="77777777" w:rsidR="00B374C4" w:rsidRDefault="00B374C4"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67B2FA0A" w14:textId="77777777" w:rsidR="00B374C4" w:rsidRDefault="00B374C4"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7EDCCBD" w14:textId="77777777" w:rsidR="00B374C4" w:rsidRDefault="00B374C4"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30226860" w14:textId="77777777" w:rsidR="00B374C4" w:rsidRDefault="00B374C4"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12814F15" w14:textId="68D435D7" w:rsidR="00412D43" w:rsidRPr="00B374C4" w:rsidRDefault="00412D43"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B374C4">
        <w:rPr>
          <w:rFonts w:ascii="Times New Roman" w:eastAsia="Times New Roman" w:hAnsi="Times New Roman" w:cs="Times New Roman"/>
          <w:b/>
          <w:color w:val="000000"/>
          <w:sz w:val="26"/>
          <w:szCs w:val="26"/>
        </w:rPr>
        <w:t>ALTINBAŞ KIBRIS ÜNİVERSİTESİ</w:t>
      </w:r>
    </w:p>
    <w:p w14:paraId="05C39300" w14:textId="5C5EAB50" w:rsidR="00412D43" w:rsidRPr="00B374C4" w:rsidRDefault="00412D43"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B374C4">
        <w:rPr>
          <w:rFonts w:ascii="Times New Roman" w:eastAsia="Times New Roman" w:hAnsi="Times New Roman" w:cs="Times New Roman"/>
          <w:b/>
          <w:color w:val="000000"/>
          <w:sz w:val="24"/>
          <w:szCs w:val="24"/>
        </w:rPr>
        <w:t>(DÜNYA BARIŞ ÜNİVERSİTESİ)</w:t>
      </w:r>
    </w:p>
    <w:p w14:paraId="36DF111A" w14:textId="77777777" w:rsidR="00412D43" w:rsidRDefault="00412D43" w:rsidP="00412D4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340D547" w14:textId="77777777" w:rsidR="00B374C4" w:rsidRDefault="00B374C4" w:rsidP="00B374C4">
      <w:pPr>
        <w:pStyle w:val="NoSpacing"/>
        <w:jc w:val="center"/>
        <w:rPr>
          <w:rFonts w:ascii="Times New Roman" w:hAnsi="Times New Roman" w:cs="Times New Roman"/>
          <w:b/>
          <w:bCs/>
          <w:sz w:val="26"/>
          <w:szCs w:val="26"/>
        </w:rPr>
      </w:pPr>
    </w:p>
    <w:p w14:paraId="03A488CE" w14:textId="0707052B" w:rsidR="00412D43" w:rsidRDefault="00412D43" w:rsidP="00B374C4">
      <w:pPr>
        <w:pStyle w:val="NoSpacing"/>
        <w:pBdr>
          <w:bottom w:val="single" w:sz="12" w:space="1" w:color="auto"/>
        </w:pBdr>
        <w:spacing w:line="360" w:lineRule="auto"/>
        <w:jc w:val="center"/>
        <w:rPr>
          <w:rFonts w:ascii="Times New Roman" w:hAnsi="Times New Roman" w:cs="Times New Roman"/>
          <w:b/>
          <w:bCs/>
          <w:sz w:val="26"/>
          <w:szCs w:val="26"/>
        </w:rPr>
      </w:pPr>
      <w:r w:rsidRPr="00B374C4">
        <w:rPr>
          <w:rFonts w:ascii="Times New Roman" w:hAnsi="Times New Roman" w:cs="Times New Roman"/>
          <w:b/>
          <w:bCs/>
          <w:sz w:val="26"/>
          <w:szCs w:val="26"/>
        </w:rPr>
        <w:t>DERS MUAFİYET VE İNTİBAK İŞLEMLERİ YÖNETMELİĞİ</w:t>
      </w:r>
    </w:p>
    <w:p w14:paraId="335DE5EA" w14:textId="4260E9DA" w:rsidR="009D260B" w:rsidRDefault="009D260B" w:rsidP="009D260B">
      <w:pPr>
        <w:pBdr>
          <w:bottom w:val="single" w:sz="12" w:space="1" w:color="auto"/>
        </w:pBdr>
        <w:jc w:val="center"/>
        <w:rPr>
          <w:rFonts w:ascii="Times New Roman" w:hAnsi="Times New Roman" w:cs="Times New Roman"/>
          <w:b/>
          <w:bCs/>
          <w:sz w:val="26"/>
          <w:szCs w:val="26"/>
        </w:rPr>
      </w:pPr>
      <w:r w:rsidRPr="007F2BF1">
        <w:rPr>
          <w:rFonts w:ascii="Times New Roman" w:hAnsi="Times New Roman" w:cs="Times New Roman"/>
          <w:b/>
          <w:bCs/>
        </w:rPr>
        <w:t xml:space="preserve">(İsim değişikliği: Senato </w:t>
      </w:r>
      <w:r w:rsidR="00B274EF">
        <w:rPr>
          <w:rFonts w:ascii="Times New Roman" w:hAnsi="Times New Roman" w:cs="Times New Roman"/>
          <w:b/>
          <w:bCs/>
        </w:rPr>
        <w:t>N</w:t>
      </w:r>
      <w:r w:rsidRPr="007F2BF1">
        <w:rPr>
          <w:rFonts w:ascii="Times New Roman" w:hAnsi="Times New Roman" w:cs="Times New Roman"/>
          <w:b/>
          <w:bCs/>
        </w:rPr>
        <w:t>o: 34, Tarih: 16.10.2025)</w:t>
      </w:r>
    </w:p>
    <w:p w14:paraId="0232DCC4" w14:textId="77777777" w:rsidR="00B374C4" w:rsidRPr="00B374C4" w:rsidRDefault="00B374C4" w:rsidP="00B374C4">
      <w:pPr>
        <w:pStyle w:val="NoSpacing"/>
        <w:jc w:val="center"/>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658"/>
        <w:gridCol w:w="6540"/>
      </w:tblGrid>
      <w:tr w:rsidR="00C45182" w14:paraId="2AFFD641" w14:textId="77777777" w:rsidTr="0078461E">
        <w:tc>
          <w:tcPr>
            <w:tcW w:w="1864" w:type="dxa"/>
          </w:tcPr>
          <w:p w14:paraId="261DBA03" w14:textId="75386F1E" w:rsidR="00C45182" w:rsidRPr="00CF6AED" w:rsidRDefault="00C45182" w:rsidP="00B374C4">
            <w:pPr>
              <w:widowContro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Kısa İsim</w:t>
            </w:r>
          </w:p>
        </w:tc>
        <w:tc>
          <w:tcPr>
            <w:tcW w:w="658" w:type="dxa"/>
          </w:tcPr>
          <w:p w14:paraId="5D75D39D" w14:textId="110BC059" w:rsidR="00C45182" w:rsidRDefault="00C4518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540" w:type="dxa"/>
          </w:tcPr>
          <w:p w14:paraId="0C4415AA" w14:textId="6F587F59" w:rsidR="00C45182" w:rsidRDefault="00C45182" w:rsidP="00C45182">
            <w:pPr>
              <w:widowControl w:val="0"/>
              <w:pBdr>
                <w:top w:val="nil"/>
                <w:left w:val="nil"/>
                <w:bottom w:val="nil"/>
                <w:right w:val="nil"/>
                <w:between w:val="nil"/>
              </w:pBdr>
              <w:shd w:val="clear" w:color="auto" w:fill="FFFFFF" w:themeFill="background1"/>
              <w:spacing w:before="35" w:line="230" w:lineRule="auto"/>
              <w:ind w:left="16" w:right="95" w:firstLine="4"/>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Bu yönetmelik, “Ders Muafiyet ve</w:t>
            </w:r>
            <w:r>
              <w:rPr>
                <w:rFonts w:ascii="Times New Roman" w:eastAsia="Times New Roman" w:hAnsi="Times New Roman" w:cs="Times New Roman"/>
                <w:color w:val="000000"/>
                <w:sz w:val="24"/>
                <w:szCs w:val="24"/>
              </w:rPr>
              <w:t xml:space="preserve"> </w:t>
            </w:r>
            <w:r w:rsidRPr="00C45182">
              <w:rPr>
                <w:rFonts w:ascii="Times New Roman" w:eastAsia="Times New Roman" w:hAnsi="Times New Roman" w:cs="Times New Roman"/>
                <w:color w:val="000000"/>
                <w:sz w:val="24"/>
                <w:szCs w:val="24"/>
              </w:rPr>
              <w:t>İntibak İşlemleri Yönetmeliği” olarak isimlendirilir.</w:t>
            </w:r>
          </w:p>
        </w:tc>
      </w:tr>
      <w:tr w:rsidR="00412D43" w14:paraId="7AD7C168" w14:textId="77777777" w:rsidTr="0078461E">
        <w:tc>
          <w:tcPr>
            <w:tcW w:w="1864" w:type="dxa"/>
          </w:tcPr>
          <w:p w14:paraId="3D580A6F" w14:textId="3B35F3F3" w:rsidR="00412D43" w:rsidRPr="00CF6AED" w:rsidRDefault="00412D43" w:rsidP="00B374C4">
            <w:pPr>
              <w:widowControl w:val="0"/>
              <w:rPr>
                <w:rFonts w:ascii="Times New Roman" w:eastAsia="Times New Roman" w:hAnsi="Times New Roman" w:cs="Times New Roman"/>
                <w:b/>
                <w:bCs/>
                <w:color w:val="000000"/>
                <w:sz w:val="24"/>
                <w:szCs w:val="24"/>
              </w:rPr>
            </w:pPr>
            <w:r w:rsidRPr="00CF6AED">
              <w:rPr>
                <w:rFonts w:ascii="Times New Roman" w:eastAsia="Times New Roman" w:hAnsi="Times New Roman" w:cs="Times New Roman"/>
                <w:b/>
                <w:bCs/>
                <w:color w:val="000000"/>
                <w:sz w:val="24"/>
                <w:szCs w:val="24"/>
              </w:rPr>
              <w:t>Kapsam</w:t>
            </w:r>
          </w:p>
        </w:tc>
        <w:tc>
          <w:tcPr>
            <w:tcW w:w="658" w:type="dxa"/>
          </w:tcPr>
          <w:p w14:paraId="75951FE2" w14:textId="14376AE3" w:rsidR="00412D43" w:rsidRDefault="00C4518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540" w:type="dxa"/>
          </w:tcPr>
          <w:p w14:paraId="74F51FF4" w14:textId="5DABB610" w:rsidR="00412D43" w:rsidRDefault="00524ED8" w:rsidP="00355EB9">
            <w:pPr>
              <w:widowControl w:val="0"/>
              <w:pBdr>
                <w:top w:val="nil"/>
                <w:left w:val="nil"/>
                <w:bottom w:val="nil"/>
                <w:right w:val="nil"/>
                <w:between w:val="nil"/>
              </w:pBdr>
              <w:shd w:val="clear" w:color="auto" w:fill="FFFFFF" w:themeFill="background1"/>
              <w:spacing w:before="35" w:line="230" w:lineRule="auto"/>
              <w:ind w:left="16" w:right="95" w:firstLine="4"/>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Ders m</w:t>
            </w:r>
            <w:r w:rsidR="00412D43">
              <w:rPr>
                <w:rFonts w:ascii="Times New Roman" w:eastAsia="Times New Roman" w:hAnsi="Times New Roman" w:cs="Times New Roman"/>
                <w:color w:val="000000"/>
                <w:sz w:val="24"/>
                <w:szCs w:val="24"/>
              </w:rPr>
              <w:t xml:space="preserve">uafiyet ve </w:t>
            </w:r>
            <w:r>
              <w:rPr>
                <w:rFonts w:ascii="Times New Roman" w:eastAsia="Times New Roman" w:hAnsi="Times New Roman" w:cs="Times New Roman"/>
                <w:color w:val="000000"/>
                <w:sz w:val="24"/>
                <w:szCs w:val="24"/>
              </w:rPr>
              <w:t>i</w:t>
            </w:r>
            <w:r w:rsidR="00412D43">
              <w:rPr>
                <w:rFonts w:ascii="Times New Roman" w:eastAsia="Times New Roman" w:hAnsi="Times New Roman" w:cs="Times New Roman"/>
                <w:color w:val="000000"/>
                <w:sz w:val="24"/>
                <w:szCs w:val="24"/>
              </w:rPr>
              <w:t xml:space="preserve">ntibak </w:t>
            </w:r>
            <w:r>
              <w:rPr>
                <w:rFonts w:ascii="Times New Roman" w:eastAsia="Times New Roman" w:hAnsi="Times New Roman" w:cs="Times New Roman"/>
                <w:color w:val="000000"/>
                <w:sz w:val="24"/>
                <w:szCs w:val="24"/>
              </w:rPr>
              <w:t>işlemleri yönetmeliği</w:t>
            </w:r>
            <w:r w:rsidR="00412D43">
              <w:rPr>
                <w:rFonts w:ascii="Times New Roman" w:eastAsia="Times New Roman" w:hAnsi="Times New Roman" w:cs="Times New Roman"/>
                <w:color w:val="000000"/>
                <w:sz w:val="24"/>
                <w:szCs w:val="24"/>
              </w:rPr>
              <w:t xml:space="preserve">, “Altınbaş Kıbrıs Üniversitesi Giriş Sınavları ve Öğrenci Kabul  Esasları” çerçevesinde Üniversiteye kabul edilen, “af yasalarından” yararlanarak Üniversiteye  geri dönen, bir yükseköğretim kurumundan mezun olup </w:t>
            </w:r>
            <w:r>
              <w:rPr>
                <w:rFonts w:ascii="Times New Roman" w:eastAsia="Times New Roman" w:hAnsi="Times New Roman" w:cs="Times New Roman"/>
                <w:color w:val="000000"/>
                <w:sz w:val="24"/>
                <w:szCs w:val="24"/>
              </w:rPr>
              <w:t>Altınbaş Kıbrıs</w:t>
            </w:r>
            <w:r w:rsidR="00412D43">
              <w:rPr>
                <w:rFonts w:ascii="Times New Roman" w:eastAsia="Times New Roman" w:hAnsi="Times New Roman" w:cs="Times New Roman"/>
                <w:color w:val="000000"/>
                <w:sz w:val="24"/>
                <w:szCs w:val="24"/>
              </w:rPr>
              <w:t xml:space="preserve"> Üniversitesi’ne kayıt  yaptıran, </w:t>
            </w:r>
            <w:r w:rsidR="00412D43" w:rsidRPr="0026162A">
              <w:rPr>
                <w:rFonts w:ascii="Times New Roman" w:eastAsia="Times New Roman" w:hAnsi="Times New Roman" w:cs="Times New Roman"/>
                <w:color w:val="000000"/>
                <w:sz w:val="24"/>
                <w:szCs w:val="24"/>
              </w:rPr>
              <w:t>“</w:t>
            </w:r>
            <w:r w:rsidR="0026162A" w:rsidRPr="0026162A">
              <w:rPr>
                <w:rFonts w:ascii="Times New Roman" w:eastAsia="Times New Roman" w:hAnsi="Times New Roman" w:cs="Times New Roman"/>
                <w:color w:val="000000"/>
                <w:sz w:val="24"/>
                <w:szCs w:val="24"/>
              </w:rPr>
              <w:t>Dışardan</w:t>
            </w:r>
            <w:r w:rsidR="00412D43" w:rsidRPr="0026162A">
              <w:rPr>
                <w:rFonts w:ascii="Times New Roman" w:eastAsia="Times New Roman" w:hAnsi="Times New Roman" w:cs="Times New Roman"/>
                <w:color w:val="000000"/>
                <w:sz w:val="24"/>
                <w:szCs w:val="24"/>
              </w:rPr>
              <w:t xml:space="preserve"> Ders Alma </w:t>
            </w:r>
            <w:r w:rsidR="0026162A" w:rsidRPr="0026162A">
              <w:rPr>
                <w:rFonts w:ascii="Times New Roman" w:eastAsia="Times New Roman" w:hAnsi="Times New Roman" w:cs="Times New Roman"/>
                <w:color w:val="000000"/>
                <w:sz w:val="24"/>
                <w:szCs w:val="24"/>
              </w:rPr>
              <w:t>Yönetmeliği</w:t>
            </w:r>
            <w:r w:rsidR="00412D43" w:rsidRPr="0026162A">
              <w:rPr>
                <w:rFonts w:ascii="Times New Roman" w:eastAsia="Times New Roman" w:hAnsi="Times New Roman" w:cs="Times New Roman"/>
                <w:color w:val="000000"/>
                <w:sz w:val="24"/>
                <w:szCs w:val="24"/>
              </w:rPr>
              <w:t>” kapsamında</w:t>
            </w:r>
            <w:r w:rsidR="00412D43">
              <w:rPr>
                <w:rFonts w:ascii="Times New Roman" w:eastAsia="Times New Roman" w:hAnsi="Times New Roman" w:cs="Times New Roman"/>
                <w:color w:val="000000"/>
                <w:sz w:val="24"/>
                <w:szCs w:val="24"/>
              </w:rPr>
              <w:t>, bir başka  yükseköğretim kurumundan ders alan öğrencilere verilecek “ders muafiyetleri” ile Üniversiteye  öğrenci kabulünde esas alınan uluslararası sınavlardan, kapsamları öğrencinin kayıt yaptırdığı  programındaki eşdeğer derslere verilecek muafiyetleri ve öğrencilerin intibaklarıyla ilgili  işlemleri kapsar.</w:t>
            </w:r>
          </w:p>
        </w:tc>
      </w:tr>
      <w:tr w:rsidR="00412D43" w14:paraId="6336908F" w14:textId="77777777" w:rsidTr="0078461E">
        <w:tc>
          <w:tcPr>
            <w:tcW w:w="1864" w:type="dxa"/>
          </w:tcPr>
          <w:p w14:paraId="4223B708"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Başvuru </w:t>
            </w:r>
          </w:p>
          <w:p w14:paraId="6F31784F" w14:textId="77777777" w:rsidR="00412D43" w:rsidRPr="00CF6AED" w:rsidRDefault="00412D43" w:rsidP="00B374C4">
            <w:pPr>
              <w:widowControl w:val="0"/>
              <w:rPr>
                <w:rFonts w:ascii="Times New Roman" w:eastAsia="Times New Roman" w:hAnsi="Times New Roman" w:cs="Times New Roman"/>
                <w:b/>
                <w:bCs/>
                <w:color w:val="000000"/>
                <w:sz w:val="24"/>
                <w:szCs w:val="24"/>
              </w:rPr>
            </w:pPr>
          </w:p>
        </w:tc>
        <w:tc>
          <w:tcPr>
            <w:tcW w:w="658" w:type="dxa"/>
          </w:tcPr>
          <w:p w14:paraId="57E156B3" w14:textId="075291AB" w:rsidR="00412D43" w:rsidRDefault="00C4518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6540" w:type="dxa"/>
          </w:tcPr>
          <w:p w14:paraId="7AC7EF5C" w14:textId="77777777" w:rsidR="00412D43" w:rsidRDefault="00412D43" w:rsidP="00355EB9">
            <w:pPr>
              <w:widowControl w:val="0"/>
              <w:pBdr>
                <w:top w:val="nil"/>
                <w:left w:val="nil"/>
                <w:bottom w:val="nil"/>
                <w:right w:val="nil"/>
                <w:between w:val="nil"/>
              </w:pBdr>
              <w:spacing w:before="34" w:line="233" w:lineRule="auto"/>
              <w:ind w:left="25" w:right="95" w:firstLine="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Eğitim dilinin İngilizce olduğu programlarda muafiyet ve/veya intibak başvurusu için talep edilen derslerin İngilizce alınmış olması ön şarttır. </w:t>
            </w:r>
          </w:p>
        </w:tc>
      </w:tr>
      <w:tr w:rsidR="00412D43" w14:paraId="585FBB52" w14:textId="77777777" w:rsidTr="0078461E">
        <w:tc>
          <w:tcPr>
            <w:tcW w:w="1864" w:type="dxa"/>
          </w:tcPr>
          <w:p w14:paraId="3F54ACC5"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2E74CDD8" w14:textId="59882B9F"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5209ADDC" w14:textId="3B2E1C34"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Ders muafiyet başvuruları, öğrencinin kabul aldığı programa Akademik Takvimde belirtilen “Ders Ekleme veya Ders Çıkarma” süreci sonuna kadar veya kayıt yaptırdığı tarihi izleyen (15 iş günü) içerisinde Öğrenci İşleri Müdürlüğü’ne resmi kanalarla alınan (Islak imzalı veya E devlet üzerinden alınmış) muafiyet belgeleri ile birlikte yapılır. Sonraki yarıyıl veya yıllarda yapılacak muafiyet talepleri, ya da yapılan muafiyet veya intibak işlemlerinin iptaline yönelik istekler kabul edilmez.  </w:t>
            </w:r>
          </w:p>
        </w:tc>
      </w:tr>
      <w:tr w:rsidR="00412D43" w14:paraId="7EE2D92F" w14:textId="77777777" w:rsidTr="0078461E">
        <w:tc>
          <w:tcPr>
            <w:tcW w:w="1864" w:type="dxa"/>
          </w:tcPr>
          <w:p w14:paraId="6BA20FEE"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434A00D1" w14:textId="3E4CA974"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090E2660" w14:textId="4BB8F134"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Başvuru şahsen veya resmi vekiller tarafından yapılmalıdır.</w:t>
            </w:r>
          </w:p>
        </w:tc>
      </w:tr>
      <w:tr w:rsidR="00412D43" w14:paraId="3C5A0216" w14:textId="77777777" w:rsidTr="0078461E">
        <w:tc>
          <w:tcPr>
            <w:tcW w:w="1864" w:type="dxa"/>
          </w:tcPr>
          <w:p w14:paraId="5FB2D5A3"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6ABAA7E7" w14:textId="1E0D9B36"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15C83305" w14:textId="7DB3076F"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Öğrencilerin, başvurularında almış oldukları derslerden hangilerinden muaf olmak istediklerini açıkça belirtmeleri gerekmektedir. Programlar öğrencilerin talep etmiş olduğu derslere veya uygun bulacakları başka derslere de muafiyet verebilir. Ders muafiyet işlemi, muaf olunan derslerin öğrenci tarafından kabulü ile tamamlanır.  </w:t>
            </w:r>
          </w:p>
        </w:tc>
      </w:tr>
      <w:tr w:rsidR="00412D43" w14:paraId="41B5514E" w14:textId="77777777" w:rsidTr="0078461E">
        <w:tc>
          <w:tcPr>
            <w:tcW w:w="1864" w:type="dxa"/>
          </w:tcPr>
          <w:p w14:paraId="640ED377"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27D37564" w14:textId="24555363"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764B4C26" w14:textId="19CDD9D4"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Son (5 yarı yıldan) önce alınmış dersler için fakültelerde, bölüm kurulu önerisi doğrultusunda, fakülte kurulu kararı ile muafiyet verilebilir.  </w:t>
            </w:r>
          </w:p>
        </w:tc>
      </w:tr>
      <w:tr w:rsidR="00412D43" w14:paraId="4FED20D8" w14:textId="77777777" w:rsidTr="0078461E">
        <w:tc>
          <w:tcPr>
            <w:tcW w:w="1864" w:type="dxa"/>
          </w:tcPr>
          <w:p w14:paraId="63FCEEC8"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79615980" w14:textId="3AB313FF"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26B38474" w14:textId="67DCB92C"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w:t>
            </w:r>
            <w:r w:rsidR="00B274EF">
              <w:rPr>
                <w:rFonts w:ascii="Times New Roman" w:eastAsia="Times New Roman" w:hAnsi="Times New Roman" w:cs="Times New Roman"/>
                <w:color w:val="000000"/>
                <w:sz w:val="24"/>
                <w:szCs w:val="24"/>
              </w:rPr>
              <w:t>ALCU</w:t>
            </w:r>
            <w:r w:rsidRPr="00C45182">
              <w:rPr>
                <w:rFonts w:ascii="Times New Roman" w:eastAsia="Times New Roman" w:hAnsi="Times New Roman" w:cs="Times New Roman"/>
                <w:color w:val="000000"/>
                <w:sz w:val="24"/>
                <w:szCs w:val="24"/>
              </w:rPr>
              <w:t xml:space="preserve"> Giriş Sınavları ve Öğrenci Kabul Esaslarında” belirtilen “Dikey Geçiş” ile kabul alan ve kayıt yapan </w:t>
            </w:r>
            <w:r w:rsidRPr="00C45182">
              <w:rPr>
                <w:rFonts w:ascii="Times New Roman" w:eastAsia="Times New Roman" w:hAnsi="Times New Roman" w:cs="Times New Roman"/>
                <w:color w:val="000000"/>
                <w:sz w:val="24"/>
                <w:szCs w:val="24"/>
              </w:rPr>
              <w:lastRenderedPageBreak/>
              <w:t xml:space="preserve">öğrencilerin ders muafiyetlerinde (5 yarı yıl) koşulu aranmaz.  </w:t>
            </w:r>
          </w:p>
        </w:tc>
      </w:tr>
      <w:tr w:rsidR="00412D43" w14:paraId="193C8715" w14:textId="77777777" w:rsidTr="0078461E">
        <w:tc>
          <w:tcPr>
            <w:tcW w:w="1864" w:type="dxa"/>
          </w:tcPr>
          <w:p w14:paraId="5711DBFA"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6330FA08" w14:textId="41DFE950"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68F4FA8B" w14:textId="765DA264" w:rsidR="00412D43" w:rsidRPr="00C45182" w:rsidRDefault="00412D43" w:rsidP="00C45182">
            <w:pPr>
              <w:pStyle w:val="ListParagraph"/>
              <w:widowControl w:val="0"/>
              <w:numPr>
                <w:ilvl w:val="0"/>
                <w:numId w:val="1"/>
              </w:numPr>
              <w:pBdr>
                <w:top w:val="nil"/>
                <w:left w:val="nil"/>
                <w:bottom w:val="nil"/>
                <w:right w:val="nil"/>
                <w:between w:val="nil"/>
              </w:pBdr>
              <w:spacing w:before="41" w:line="229"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Başvuru dilekçesinin ekine daha önce öğrenim görülen yükseköğretim kurumu tarafından onaylanmış (mühürlü, kaşeli ve imzalı) ders içerikleri ve öğrenim belgesi (transkript) eklenmesi gerekir. Bu konuda, fotokopi, faks, onaysız belge ve eksik belge olması durumunda başvuru işlemi şartlı olarak işleme alınır ve öğrenciye belgelerini sunması için dönem sonuna kadar süre verilir. Bu süreç sonunda şartı sağlayamayan başvurular ret edilmiş sayılır.</w:t>
            </w:r>
          </w:p>
        </w:tc>
      </w:tr>
      <w:tr w:rsidR="00412D43" w14:paraId="2D057234" w14:textId="77777777" w:rsidTr="0078461E">
        <w:tc>
          <w:tcPr>
            <w:tcW w:w="1864" w:type="dxa"/>
          </w:tcPr>
          <w:p w14:paraId="4216E946"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Muafiyet ve İntibak ile İlgili Genel Hususlar </w:t>
            </w:r>
          </w:p>
          <w:p w14:paraId="04000890"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10551F88" w14:textId="19A3A0A6" w:rsidR="00412D43" w:rsidRDefault="00C4518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540" w:type="dxa"/>
          </w:tcPr>
          <w:p w14:paraId="2CA7661F" w14:textId="76A82627" w:rsidR="00412D43" w:rsidRPr="00C45182" w:rsidRDefault="00412D43" w:rsidP="00C45182">
            <w:pPr>
              <w:pStyle w:val="ListParagraph"/>
              <w:widowControl w:val="0"/>
              <w:numPr>
                <w:ilvl w:val="0"/>
                <w:numId w:val="2"/>
              </w:numPr>
              <w:pBdr>
                <w:top w:val="nil"/>
                <w:left w:val="nil"/>
                <w:bottom w:val="nil"/>
                <w:right w:val="nil"/>
                <w:between w:val="nil"/>
              </w:pBdr>
              <w:spacing w:before="34" w:line="231" w:lineRule="auto"/>
              <w:ind w:right="104"/>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Başvuru yapılan birimin yöneticisi öğrencinin muafiyet istediği dersler ile ilgili gerekli incelemeleri yaparak, daha önce alınıp başarılı olunan ve muafiyet talep edilen tüm dersler için kararını verir.  </w:t>
            </w:r>
          </w:p>
        </w:tc>
      </w:tr>
      <w:tr w:rsidR="00412D43" w14:paraId="7253F187" w14:textId="77777777" w:rsidTr="0078461E">
        <w:tc>
          <w:tcPr>
            <w:tcW w:w="1864" w:type="dxa"/>
          </w:tcPr>
          <w:p w14:paraId="44FAFE8C"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6C04098A" w14:textId="60FD4B65"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71EED450" w14:textId="0DF766AC" w:rsidR="00412D43" w:rsidRPr="00C45182" w:rsidRDefault="00412D43" w:rsidP="00C45182">
            <w:pPr>
              <w:pStyle w:val="ListParagraph"/>
              <w:widowControl w:val="0"/>
              <w:numPr>
                <w:ilvl w:val="0"/>
                <w:numId w:val="2"/>
              </w:numPr>
              <w:pBdr>
                <w:top w:val="nil"/>
                <w:left w:val="nil"/>
                <w:bottom w:val="nil"/>
                <w:right w:val="nil"/>
                <w:between w:val="nil"/>
              </w:pBdr>
              <w:spacing w:before="34" w:line="231" w:lineRule="auto"/>
              <w:ind w:right="104"/>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Muafiyet başvurularında, dersin zorunlu ya da seçmeli olmasına bakılmaksızın, ders içeriği uyumu ve yeterliliği değerlendirilir. Bu değerlendirme sırasında Ders Mutabakat Formu doldurulur ve ilgili birimin kurulu tarafından incelenerek karara bağlanır. Öğrencinin intibakı, ilgili yarıyıla veya yıla yapılır.</w:t>
            </w:r>
          </w:p>
        </w:tc>
      </w:tr>
      <w:tr w:rsidR="00412D43" w14:paraId="6F8DC1D1" w14:textId="77777777" w:rsidTr="0078461E">
        <w:tc>
          <w:tcPr>
            <w:tcW w:w="1864" w:type="dxa"/>
          </w:tcPr>
          <w:p w14:paraId="1965BA9C"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6EB4C22B" w14:textId="32797632"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2789E11C" w14:textId="737387E8" w:rsidR="00412D43" w:rsidRPr="00C45182" w:rsidRDefault="00412D43" w:rsidP="00C45182">
            <w:pPr>
              <w:pStyle w:val="ListParagraph"/>
              <w:widowControl w:val="0"/>
              <w:numPr>
                <w:ilvl w:val="0"/>
                <w:numId w:val="2"/>
              </w:numPr>
              <w:pBdr>
                <w:top w:val="nil"/>
                <w:left w:val="nil"/>
                <w:bottom w:val="nil"/>
                <w:right w:val="nil"/>
                <w:between w:val="nil"/>
              </w:pBdr>
              <w:spacing w:before="50" w:line="229" w:lineRule="auto"/>
              <w:ind w:right="100"/>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Muafiyet talebi, ilgili kurul tarafından sonuçlandırılıncaya kadar öğrenciler, danışmanlarının önerdiği ve muafiyet talep ettikleri dersler dışındaki derslere devam ederler.</w:t>
            </w:r>
          </w:p>
        </w:tc>
      </w:tr>
      <w:tr w:rsidR="00412D43" w14:paraId="0911AF82" w14:textId="77777777" w:rsidTr="0078461E">
        <w:tc>
          <w:tcPr>
            <w:tcW w:w="1864" w:type="dxa"/>
          </w:tcPr>
          <w:p w14:paraId="2C51562E"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4763E1E0" w14:textId="26F055B2"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5DDD2CEF" w14:textId="5A643B4B" w:rsidR="00412D43" w:rsidRPr="00C45182" w:rsidRDefault="00412D43" w:rsidP="00C45182">
            <w:pPr>
              <w:pStyle w:val="ListParagraph"/>
              <w:widowControl w:val="0"/>
              <w:numPr>
                <w:ilvl w:val="0"/>
                <w:numId w:val="2"/>
              </w:numPr>
              <w:pBdr>
                <w:top w:val="nil"/>
                <w:left w:val="nil"/>
                <w:bottom w:val="nil"/>
                <w:right w:val="nil"/>
                <w:between w:val="nil"/>
              </w:pBdr>
              <w:spacing w:before="50" w:line="229" w:lineRule="auto"/>
              <w:ind w:right="100"/>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Akademik takvimde belirtilen “Ders Ekleme veya Bırakma” süresi sona erdikten sonra teslim edilen muafiyet belgeleri dikkate alınarak, muafiyet verilen ders veya dersler, öğrencinin "yarı zamanlı" statüsüne düşmesine neden olmayacak şekilde ders kaydından silinir. Ancak bu durumda yeni ders eklenmesi yapılmaz.</w:t>
            </w:r>
          </w:p>
        </w:tc>
      </w:tr>
      <w:tr w:rsidR="00412D43" w14:paraId="4A2F0B2E" w14:textId="77777777" w:rsidTr="0078461E">
        <w:tc>
          <w:tcPr>
            <w:tcW w:w="1864" w:type="dxa"/>
          </w:tcPr>
          <w:p w14:paraId="0686CA2C"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7C06B972" w14:textId="0CFF30F0"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290544D9" w14:textId="52E3AEB2" w:rsidR="00412D43" w:rsidRPr="00C45182" w:rsidRDefault="00412D43" w:rsidP="00C45182">
            <w:pPr>
              <w:pStyle w:val="ListParagraph"/>
              <w:widowControl w:val="0"/>
              <w:numPr>
                <w:ilvl w:val="0"/>
                <w:numId w:val="2"/>
              </w:numPr>
              <w:pBdr>
                <w:top w:val="nil"/>
                <w:left w:val="nil"/>
                <w:bottom w:val="nil"/>
                <w:right w:val="nil"/>
                <w:between w:val="nil"/>
              </w:pBdr>
              <w:spacing w:before="50" w:line="229" w:lineRule="auto"/>
              <w:ind w:right="100"/>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Akademik takvimde belirtilen son ders tarihine kadar teslim edilmeyen muafiyet belgeleri işleme alınmaz. Öğrenciler, daha sonraki yarıyıllarda aynı ders(ler) için muafiyet veya intibak talebinde bulunamazlar.</w:t>
            </w:r>
          </w:p>
        </w:tc>
      </w:tr>
      <w:tr w:rsidR="00412D43" w14:paraId="55F1A038" w14:textId="77777777" w:rsidTr="0078461E">
        <w:tc>
          <w:tcPr>
            <w:tcW w:w="1864" w:type="dxa"/>
          </w:tcPr>
          <w:p w14:paraId="09CCAF18"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0C65D4DC" w14:textId="1B83D6C3"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39A3A4AF" w14:textId="47E65338" w:rsidR="00412D43" w:rsidRPr="00C45182" w:rsidRDefault="00412D43" w:rsidP="00C45182">
            <w:pPr>
              <w:pStyle w:val="ListParagraph"/>
              <w:widowControl w:val="0"/>
              <w:numPr>
                <w:ilvl w:val="0"/>
                <w:numId w:val="2"/>
              </w:numPr>
              <w:pBdr>
                <w:top w:val="nil"/>
                <w:left w:val="nil"/>
                <w:bottom w:val="nil"/>
                <w:right w:val="nil"/>
                <w:between w:val="nil"/>
              </w:pBdr>
              <w:spacing w:before="50" w:line="229" w:lineRule="auto"/>
              <w:ind w:right="100"/>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Muafiyet için başvuran öğrencinin not döküm belgesinde hem harf notu hem de sayısal not bulunması durumunda harf notu esas alınır.  </w:t>
            </w:r>
          </w:p>
        </w:tc>
      </w:tr>
      <w:tr w:rsidR="00412D43" w14:paraId="1AE8DED1" w14:textId="77777777" w:rsidTr="0078461E">
        <w:tc>
          <w:tcPr>
            <w:tcW w:w="1864" w:type="dxa"/>
          </w:tcPr>
          <w:p w14:paraId="319C6B99"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58D88B98" w14:textId="0026B363"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06703D35" w14:textId="4F82410D" w:rsidR="00412D43" w:rsidRPr="00C45182" w:rsidRDefault="00412D43" w:rsidP="00C45182">
            <w:pPr>
              <w:pStyle w:val="ListParagraph"/>
              <w:widowControl w:val="0"/>
              <w:numPr>
                <w:ilvl w:val="0"/>
                <w:numId w:val="2"/>
              </w:numPr>
              <w:pBdr>
                <w:top w:val="nil"/>
                <w:left w:val="nil"/>
                <w:bottom w:val="nil"/>
                <w:right w:val="nil"/>
                <w:between w:val="nil"/>
              </w:pBdr>
              <w:spacing w:before="51" w:line="235"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Eşdeğer sayılması istenen bir dersin adının, eşdeğer sayılacak ders ile birebir aynı olması gerekmez. Ders değerlendirmesinde, ders içeriği en az (%60) eşdeğer olmalıdır.  </w:t>
            </w:r>
          </w:p>
        </w:tc>
      </w:tr>
      <w:tr w:rsidR="00412D43" w14:paraId="474D315E" w14:textId="77777777" w:rsidTr="0078461E">
        <w:tc>
          <w:tcPr>
            <w:tcW w:w="1864" w:type="dxa"/>
          </w:tcPr>
          <w:p w14:paraId="72B8B31E"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32BC72C5" w14:textId="7687945E"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028BC690" w14:textId="55D552EF" w:rsidR="00412D43" w:rsidRPr="00C45182" w:rsidRDefault="00412D43" w:rsidP="00C45182">
            <w:pPr>
              <w:pStyle w:val="ListParagraph"/>
              <w:widowControl w:val="0"/>
              <w:numPr>
                <w:ilvl w:val="0"/>
                <w:numId w:val="2"/>
              </w:numPr>
              <w:pBdr>
                <w:top w:val="nil"/>
                <w:left w:val="nil"/>
                <w:bottom w:val="nil"/>
                <w:right w:val="nil"/>
                <w:between w:val="nil"/>
              </w:pBdr>
              <w:spacing w:before="51" w:line="235"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İntibak işlemlerinde, öğrencilerin diğer yükseköğretim kurumlarında diğer sistemlerden aldıkları notların dörtlük sisteme dönüştürülmesinde Altınbaş Kıbrıs Üniversitesi Senatosu tarafından onaylanan “Dörtlük Sistemdeki Notların Diğer Sistemlerdeki Karşılıkları” tablosu esas alınarak yapılır.</w:t>
            </w:r>
          </w:p>
        </w:tc>
      </w:tr>
      <w:tr w:rsidR="00412D43" w14:paraId="1FDF258C" w14:textId="77777777" w:rsidTr="0078461E">
        <w:trPr>
          <w:trHeight w:val="1696"/>
        </w:trPr>
        <w:tc>
          <w:tcPr>
            <w:tcW w:w="1864" w:type="dxa"/>
          </w:tcPr>
          <w:p w14:paraId="7BA599ED" w14:textId="5B4FAD6B"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Yeni Kayıt Öğrencilerinin Ders Muafiyetleri ve Not İntibakları</w:t>
            </w:r>
          </w:p>
        </w:tc>
        <w:tc>
          <w:tcPr>
            <w:tcW w:w="658" w:type="dxa"/>
          </w:tcPr>
          <w:p w14:paraId="1B0F14F5" w14:textId="57EF6B78" w:rsidR="00412D43" w:rsidRDefault="00C4518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540" w:type="dxa"/>
          </w:tcPr>
          <w:p w14:paraId="2CA3B839" w14:textId="61795E0C" w:rsidR="00412D43" w:rsidRPr="00C45182" w:rsidRDefault="00412D43" w:rsidP="00C45182">
            <w:pPr>
              <w:pStyle w:val="ListParagraph"/>
              <w:widowControl w:val="0"/>
              <w:numPr>
                <w:ilvl w:val="0"/>
                <w:numId w:val="3"/>
              </w:numPr>
              <w:pBdr>
                <w:top w:val="nil"/>
                <w:left w:val="nil"/>
                <w:bottom w:val="nil"/>
                <w:right w:val="nil"/>
                <w:between w:val="nil"/>
              </w:pBdr>
              <w:spacing w:before="51" w:line="235" w:lineRule="auto"/>
              <w:ind w:right="96"/>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Üniversiteye, “</w:t>
            </w:r>
            <w:r w:rsidR="00B274EF">
              <w:rPr>
                <w:rFonts w:ascii="Times New Roman" w:eastAsia="Times New Roman" w:hAnsi="Times New Roman" w:cs="Times New Roman"/>
                <w:color w:val="000000"/>
                <w:sz w:val="24"/>
                <w:szCs w:val="24"/>
              </w:rPr>
              <w:t>ALCU</w:t>
            </w:r>
            <w:r w:rsidRPr="00C45182">
              <w:rPr>
                <w:rFonts w:ascii="Times New Roman" w:eastAsia="Times New Roman" w:hAnsi="Times New Roman" w:cs="Times New Roman"/>
                <w:color w:val="000000"/>
                <w:sz w:val="24"/>
                <w:szCs w:val="24"/>
              </w:rPr>
              <w:t xml:space="preserve"> Giriş Sınavları ve Öğrenci Kabul Esasları” kapsamında kabul edilip kayıt yapan öğrencilerin ders muafiyet ve not intibakları aşağıda yer alan hususlar dikkate alınarak yapılır.</w:t>
            </w:r>
          </w:p>
        </w:tc>
      </w:tr>
      <w:tr w:rsidR="00412D43" w14:paraId="0925D95F" w14:textId="77777777" w:rsidTr="0078461E">
        <w:tc>
          <w:tcPr>
            <w:tcW w:w="1864" w:type="dxa"/>
          </w:tcPr>
          <w:p w14:paraId="4EB0203C"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55D1765C" w14:textId="741C33FF"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5FB69C15" w14:textId="2293500E" w:rsidR="00412D43" w:rsidRPr="002656E2" w:rsidRDefault="00412D43" w:rsidP="002656E2">
            <w:pPr>
              <w:pStyle w:val="ListParagraph"/>
              <w:widowControl w:val="0"/>
              <w:numPr>
                <w:ilvl w:val="0"/>
                <w:numId w:val="3"/>
              </w:numPr>
              <w:pBdr>
                <w:top w:val="nil"/>
                <w:left w:val="nil"/>
                <w:bottom w:val="nil"/>
                <w:right w:val="nil"/>
                <w:between w:val="nil"/>
              </w:pBdr>
              <w:spacing w:before="44" w:line="229" w:lineRule="auto"/>
              <w:ind w:right="96"/>
              <w:jc w:val="both"/>
              <w:rPr>
                <w:rFonts w:ascii="Times New Roman" w:eastAsia="Times New Roman" w:hAnsi="Times New Roman" w:cs="Times New Roman"/>
                <w:color w:val="000000"/>
                <w:sz w:val="24"/>
                <w:szCs w:val="24"/>
              </w:rPr>
            </w:pPr>
            <w:r w:rsidRPr="002656E2">
              <w:rPr>
                <w:rFonts w:ascii="Times New Roman" w:eastAsia="Times New Roman" w:hAnsi="Times New Roman" w:cs="Times New Roman"/>
                <w:color w:val="000000"/>
                <w:sz w:val="24"/>
                <w:szCs w:val="24"/>
              </w:rPr>
              <w:t xml:space="preserve">“Yatay Geçiş” yapmış veya başka bir yükseköğretim kurumunda eğitim görmüş veya bir yükseköğretim kurumunun farklı bir programından mezun olmuş ve Altınbaş Kıbrıs Üniversitesi’ne yeni kayıt yapan öğrencilerde, muaf olunan ders sayısı, ilgili programın ders programındaki (ilk 5 yarı yılın) ders sayısından fazla olamaz. </w:t>
            </w:r>
          </w:p>
          <w:p w14:paraId="7B8ECAB6" w14:textId="39AF0055" w:rsidR="00412D43" w:rsidRPr="00C45182" w:rsidRDefault="00412D43" w:rsidP="00C45182">
            <w:pPr>
              <w:pStyle w:val="ListParagraph"/>
              <w:widowControl w:val="0"/>
              <w:numPr>
                <w:ilvl w:val="0"/>
                <w:numId w:val="4"/>
              </w:numPr>
              <w:pBdr>
                <w:top w:val="nil"/>
                <w:left w:val="nil"/>
                <w:bottom w:val="nil"/>
                <w:right w:val="nil"/>
                <w:between w:val="nil"/>
              </w:pBdr>
              <w:spacing w:before="50"/>
              <w:ind w:right="105"/>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Muafiyet istenen dersler fazla ise, öğrencinin almış olduğu en yüksek nottan başlayarak önkoşullar da dikkate alınarak muaf olunacak dersler belirlenir. </w:t>
            </w:r>
          </w:p>
          <w:p w14:paraId="30039657" w14:textId="13B9F1A8" w:rsidR="00412D43" w:rsidRPr="00C45182" w:rsidRDefault="00412D43" w:rsidP="00C45182">
            <w:pPr>
              <w:pStyle w:val="ListParagraph"/>
              <w:widowControl w:val="0"/>
              <w:numPr>
                <w:ilvl w:val="0"/>
                <w:numId w:val="4"/>
              </w:numPr>
              <w:pBdr>
                <w:top w:val="nil"/>
                <w:left w:val="nil"/>
                <w:bottom w:val="nil"/>
                <w:right w:val="nil"/>
                <w:between w:val="nil"/>
              </w:pBdr>
              <w:spacing w:before="50"/>
              <w:ind w:right="105"/>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Birden fazla dersin bir derse eşdeğer sayılması durumunda bu derslerin not ortalaması dikkate alınarak intibak yapılır.  </w:t>
            </w:r>
          </w:p>
          <w:p w14:paraId="14AB4294" w14:textId="15463B6F" w:rsidR="00412D43" w:rsidRPr="00C45182" w:rsidRDefault="00412D43" w:rsidP="00C45182">
            <w:pPr>
              <w:pStyle w:val="ListParagraph"/>
              <w:widowControl w:val="0"/>
              <w:numPr>
                <w:ilvl w:val="0"/>
                <w:numId w:val="4"/>
              </w:numPr>
              <w:pBdr>
                <w:top w:val="nil"/>
                <w:left w:val="nil"/>
                <w:bottom w:val="nil"/>
                <w:right w:val="nil"/>
                <w:between w:val="nil"/>
              </w:pBdr>
              <w:spacing w:before="50"/>
              <w:ind w:right="105"/>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 xml:space="preserve">Bir dersin, birden fazla derse eşdeğer sayılması durumunda ise, dersin kredileri ve içerikleri göz önünde bulundurularak geçer notu eşdeğer derslerine verilebilir. </w:t>
            </w:r>
          </w:p>
        </w:tc>
      </w:tr>
      <w:tr w:rsidR="00412D43" w14:paraId="047D362B" w14:textId="77777777" w:rsidTr="0078461E">
        <w:tc>
          <w:tcPr>
            <w:tcW w:w="1864" w:type="dxa"/>
          </w:tcPr>
          <w:p w14:paraId="0C10CE6F"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7BCC1F49" w14:textId="4262DD60"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60D91EBE" w14:textId="46596618" w:rsidR="00412D43" w:rsidRPr="00C45182" w:rsidRDefault="00412D43" w:rsidP="00C45182">
            <w:pPr>
              <w:pStyle w:val="ListParagraph"/>
              <w:widowControl w:val="0"/>
              <w:numPr>
                <w:ilvl w:val="0"/>
                <w:numId w:val="3"/>
              </w:numPr>
              <w:pBdr>
                <w:top w:val="nil"/>
                <w:left w:val="nil"/>
                <w:bottom w:val="nil"/>
                <w:right w:val="nil"/>
                <w:between w:val="nil"/>
              </w:pBdr>
              <w:spacing w:before="34" w:line="236" w:lineRule="auto"/>
              <w:ind w:right="95"/>
              <w:jc w:val="both"/>
              <w:rPr>
                <w:rFonts w:ascii="Times New Roman" w:eastAsia="Times New Roman" w:hAnsi="Times New Roman" w:cs="Times New Roman"/>
                <w:color w:val="000000"/>
                <w:sz w:val="24"/>
                <w:szCs w:val="24"/>
              </w:rPr>
            </w:pPr>
            <w:r w:rsidRPr="00C45182">
              <w:rPr>
                <w:rFonts w:ascii="Times New Roman" w:eastAsia="Times New Roman" w:hAnsi="Times New Roman" w:cs="Times New Roman"/>
                <w:color w:val="000000"/>
                <w:sz w:val="24"/>
                <w:szCs w:val="24"/>
              </w:rPr>
              <w:t>Bir yükseköğretim kurumundan mezun olan ve Altınbaş Kıbrıs Üniversitesi’nde eşdeğer bir programda, aynı lisans mezuniyet derecesini veren bir programa kayıt yapan öğrencilere, almış oldukları derslere eşdeğer sayılabilecek tüm derslerden muafiyet verilebilir. Ancak bu durumdaki öğrencilerin kayıt yaptığı programda en az (</w:t>
            </w:r>
            <w:r w:rsidR="00524ED8" w:rsidRPr="00C45182">
              <w:rPr>
                <w:rFonts w:ascii="Times New Roman" w:eastAsia="Times New Roman" w:hAnsi="Times New Roman" w:cs="Times New Roman"/>
                <w:color w:val="000000"/>
                <w:sz w:val="24"/>
                <w:szCs w:val="24"/>
              </w:rPr>
              <w:t>3</w:t>
            </w:r>
            <w:r w:rsidRPr="00C45182">
              <w:rPr>
                <w:rFonts w:ascii="Times New Roman" w:eastAsia="Times New Roman" w:hAnsi="Times New Roman" w:cs="Times New Roman"/>
                <w:color w:val="000000"/>
                <w:sz w:val="24"/>
                <w:szCs w:val="24"/>
              </w:rPr>
              <w:t xml:space="preserve"> yarı yıl) “tam zamanlı” olarak eğitim görmesi şarttır. </w:t>
            </w:r>
          </w:p>
        </w:tc>
      </w:tr>
      <w:tr w:rsidR="00412D43" w14:paraId="7FF25CD6" w14:textId="77777777" w:rsidTr="0078461E">
        <w:tc>
          <w:tcPr>
            <w:tcW w:w="1864" w:type="dxa"/>
          </w:tcPr>
          <w:p w14:paraId="5293CC9D"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0B1D7755" w14:textId="65F4CAC2"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0477B89F" w14:textId="6B42160E" w:rsidR="00412D43" w:rsidRPr="002656E2" w:rsidRDefault="00412D43" w:rsidP="002656E2">
            <w:pPr>
              <w:pStyle w:val="ListParagraph"/>
              <w:widowControl w:val="0"/>
              <w:numPr>
                <w:ilvl w:val="0"/>
                <w:numId w:val="3"/>
              </w:numPr>
              <w:pBdr>
                <w:top w:val="nil"/>
                <w:left w:val="nil"/>
                <w:bottom w:val="nil"/>
                <w:right w:val="nil"/>
                <w:between w:val="nil"/>
              </w:pBdr>
              <w:spacing w:before="34" w:line="236" w:lineRule="auto"/>
              <w:ind w:right="95"/>
              <w:jc w:val="both"/>
              <w:rPr>
                <w:rFonts w:ascii="Times New Roman" w:eastAsia="Times New Roman" w:hAnsi="Times New Roman" w:cs="Times New Roman"/>
                <w:color w:val="000000"/>
                <w:sz w:val="24"/>
                <w:szCs w:val="24"/>
              </w:rPr>
            </w:pPr>
            <w:r w:rsidRPr="002656E2">
              <w:rPr>
                <w:rFonts w:ascii="Times New Roman" w:eastAsia="Times New Roman" w:hAnsi="Times New Roman" w:cs="Times New Roman"/>
                <w:color w:val="000000"/>
                <w:sz w:val="24"/>
                <w:szCs w:val="24"/>
              </w:rPr>
              <w:t xml:space="preserve">“Dikey Geçiş” ile kayıt yapan öğrencilere, genel esaslarla çelişmemek kaydı ile en az (ilk 4 yarı yıl) ders sayısı kadar muafiyet verilir.  </w:t>
            </w:r>
          </w:p>
        </w:tc>
      </w:tr>
      <w:tr w:rsidR="00412D43" w14:paraId="60178278" w14:textId="77777777" w:rsidTr="0078461E">
        <w:tc>
          <w:tcPr>
            <w:tcW w:w="1864" w:type="dxa"/>
          </w:tcPr>
          <w:p w14:paraId="0FE07CF9"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3227206B" w14:textId="6C4ED429"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2213790C" w14:textId="642E0A7F" w:rsidR="00412D43" w:rsidRPr="002656E2" w:rsidRDefault="00412D43" w:rsidP="002656E2">
            <w:pPr>
              <w:pStyle w:val="ListParagraph"/>
              <w:widowControl w:val="0"/>
              <w:numPr>
                <w:ilvl w:val="0"/>
                <w:numId w:val="3"/>
              </w:numPr>
              <w:pBdr>
                <w:top w:val="nil"/>
                <w:left w:val="nil"/>
                <w:bottom w:val="nil"/>
                <w:right w:val="nil"/>
                <w:between w:val="nil"/>
              </w:pBdr>
              <w:spacing w:before="34" w:line="236" w:lineRule="auto"/>
              <w:ind w:right="95"/>
              <w:jc w:val="both"/>
              <w:rPr>
                <w:rFonts w:ascii="Times New Roman" w:eastAsia="Times New Roman" w:hAnsi="Times New Roman" w:cs="Times New Roman"/>
                <w:color w:val="000000"/>
                <w:sz w:val="24"/>
                <w:szCs w:val="24"/>
              </w:rPr>
            </w:pPr>
            <w:r w:rsidRPr="002656E2">
              <w:rPr>
                <w:rFonts w:ascii="Times New Roman" w:eastAsia="Times New Roman" w:hAnsi="Times New Roman" w:cs="Times New Roman"/>
                <w:color w:val="000000"/>
                <w:sz w:val="24"/>
                <w:szCs w:val="24"/>
                <w:highlight w:val="white"/>
              </w:rPr>
              <w:t xml:space="preserve">Başka yükseköğretim kurumlarında öğrenim görerek, üniversiteye yeni kayıt yapan </w:t>
            </w:r>
            <w:r w:rsidRPr="002656E2">
              <w:rPr>
                <w:rFonts w:ascii="Times New Roman" w:eastAsia="Times New Roman" w:hAnsi="Times New Roman" w:cs="Times New Roman"/>
                <w:color w:val="000000"/>
                <w:sz w:val="24"/>
                <w:szCs w:val="24"/>
              </w:rPr>
              <w:t>öğrencilerin</w:t>
            </w:r>
            <w:r w:rsidRPr="002656E2">
              <w:rPr>
                <w:rFonts w:ascii="Times New Roman" w:eastAsia="Times New Roman" w:hAnsi="Times New Roman" w:cs="Times New Roman"/>
                <w:color w:val="000000"/>
                <w:sz w:val="24"/>
                <w:szCs w:val="24"/>
                <w:highlight w:val="white"/>
              </w:rPr>
              <w:t xml:space="preserve"> </w:t>
            </w:r>
            <w:r w:rsidR="00B274EF">
              <w:rPr>
                <w:rFonts w:ascii="Times New Roman" w:eastAsia="Times New Roman" w:hAnsi="Times New Roman" w:cs="Times New Roman"/>
                <w:color w:val="000000"/>
                <w:sz w:val="24"/>
                <w:szCs w:val="24"/>
                <w:highlight w:val="white"/>
              </w:rPr>
              <w:t>ALCU</w:t>
            </w:r>
            <w:r w:rsidRPr="002656E2">
              <w:rPr>
                <w:rFonts w:ascii="Times New Roman" w:eastAsia="Times New Roman" w:hAnsi="Times New Roman" w:cs="Times New Roman"/>
                <w:color w:val="000000"/>
                <w:sz w:val="24"/>
                <w:szCs w:val="24"/>
                <w:highlight w:val="white"/>
              </w:rPr>
              <w:t xml:space="preserve">’de karşılık gelen harf notu ‘C’ ve üzeri olan dersler, içerik bakımından </w:t>
            </w:r>
            <w:r w:rsidRPr="002656E2">
              <w:rPr>
                <w:rFonts w:ascii="Times New Roman" w:eastAsia="Times New Roman" w:hAnsi="Times New Roman" w:cs="Times New Roman"/>
                <w:color w:val="000000"/>
                <w:sz w:val="24"/>
                <w:szCs w:val="24"/>
              </w:rPr>
              <w:t>uygunsa</w:t>
            </w:r>
            <w:r w:rsidRPr="002656E2">
              <w:rPr>
                <w:rFonts w:ascii="Times New Roman" w:eastAsia="Times New Roman" w:hAnsi="Times New Roman" w:cs="Times New Roman"/>
                <w:color w:val="000000"/>
                <w:sz w:val="24"/>
                <w:szCs w:val="24"/>
                <w:highlight w:val="white"/>
              </w:rPr>
              <w:t xml:space="preserve"> muaf sayılarak not döküm belgesine Genel Not Ortalamasına (GNO/CGPA) katılır. </w:t>
            </w:r>
            <w:r w:rsidRPr="002656E2">
              <w:rPr>
                <w:rFonts w:ascii="Times New Roman" w:eastAsia="Times New Roman" w:hAnsi="Times New Roman" w:cs="Times New Roman"/>
                <w:color w:val="000000"/>
                <w:sz w:val="24"/>
                <w:szCs w:val="24"/>
              </w:rPr>
              <w:t xml:space="preserve"> </w:t>
            </w:r>
          </w:p>
        </w:tc>
      </w:tr>
      <w:tr w:rsidR="00412D43" w14:paraId="4F95F408" w14:textId="77777777" w:rsidTr="0078461E">
        <w:tc>
          <w:tcPr>
            <w:tcW w:w="1864" w:type="dxa"/>
          </w:tcPr>
          <w:p w14:paraId="00F52FE2"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593A8EFF" w14:textId="4F4D9EBB"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368CB8AF" w14:textId="4AF450B1" w:rsidR="00412D43" w:rsidRPr="002656E2" w:rsidRDefault="00412D43" w:rsidP="002656E2">
            <w:pPr>
              <w:pStyle w:val="ListParagraph"/>
              <w:widowControl w:val="0"/>
              <w:numPr>
                <w:ilvl w:val="0"/>
                <w:numId w:val="3"/>
              </w:numPr>
              <w:pBdr>
                <w:top w:val="nil"/>
                <w:left w:val="nil"/>
                <w:bottom w:val="nil"/>
                <w:right w:val="nil"/>
                <w:between w:val="nil"/>
              </w:pBdr>
              <w:spacing w:before="34" w:line="236" w:lineRule="auto"/>
              <w:ind w:right="95"/>
              <w:jc w:val="both"/>
              <w:rPr>
                <w:rFonts w:ascii="Times New Roman" w:eastAsia="Times New Roman" w:hAnsi="Times New Roman" w:cs="Times New Roman"/>
                <w:color w:val="000000"/>
                <w:sz w:val="24"/>
                <w:szCs w:val="24"/>
                <w:highlight w:val="white"/>
              </w:rPr>
            </w:pPr>
            <w:r w:rsidRPr="002656E2">
              <w:rPr>
                <w:rFonts w:ascii="Times New Roman" w:eastAsia="Times New Roman" w:hAnsi="Times New Roman" w:cs="Times New Roman"/>
                <w:color w:val="000000"/>
                <w:sz w:val="24"/>
                <w:szCs w:val="24"/>
              </w:rPr>
              <w:t>Sınamalı not alınmış ‘C</w:t>
            </w:r>
            <w:r w:rsidR="00524ED8" w:rsidRPr="002656E2">
              <w:rPr>
                <w:rFonts w:ascii="Times New Roman" w:eastAsia="Times New Roman" w:hAnsi="Times New Roman" w:cs="Times New Roman"/>
                <w:color w:val="000000"/>
                <w:sz w:val="24"/>
                <w:szCs w:val="24"/>
              </w:rPr>
              <w:t>- ‘</w:t>
            </w:r>
            <w:r w:rsidRPr="002656E2">
              <w:rPr>
                <w:rFonts w:ascii="Times New Roman" w:eastAsia="Times New Roman" w:hAnsi="Times New Roman" w:cs="Times New Roman"/>
                <w:color w:val="000000"/>
                <w:sz w:val="24"/>
                <w:szCs w:val="24"/>
              </w:rPr>
              <w:t xml:space="preserve">, ‘D’ veya karşılıkları derslere muafiyet verilebilmesi ancak muafiyet verilen tüm derslerin not ortalamasının (2.00) veya üstü olması halinde mümkündür.  </w:t>
            </w:r>
          </w:p>
        </w:tc>
      </w:tr>
      <w:tr w:rsidR="00412D43" w14:paraId="77F1E5AB" w14:textId="77777777" w:rsidTr="0078461E">
        <w:tc>
          <w:tcPr>
            <w:tcW w:w="1864" w:type="dxa"/>
          </w:tcPr>
          <w:p w14:paraId="46BFA44F"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410F3687" w14:textId="69AB6587"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7FABABFC" w14:textId="16B76B02" w:rsidR="00412D43" w:rsidRPr="002656E2" w:rsidRDefault="00412D43" w:rsidP="002656E2">
            <w:pPr>
              <w:pStyle w:val="ListParagraph"/>
              <w:widowControl w:val="0"/>
              <w:numPr>
                <w:ilvl w:val="0"/>
                <w:numId w:val="3"/>
              </w:numPr>
              <w:pBdr>
                <w:top w:val="nil"/>
                <w:left w:val="nil"/>
                <w:bottom w:val="nil"/>
                <w:right w:val="nil"/>
                <w:between w:val="nil"/>
              </w:pBdr>
              <w:spacing w:before="41" w:line="237" w:lineRule="auto"/>
              <w:ind w:right="97"/>
              <w:jc w:val="both"/>
              <w:rPr>
                <w:rFonts w:ascii="Times New Roman" w:eastAsia="Times New Roman" w:hAnsi="Times New Roman" w:cs="Times New Roman"/>
                <w:color w:val="000000"/>
                <w:sz w:val="24"/>
                <w:szCs w:val="24"/>
              </w:rPr>
            </w:pPr>
            <w:r w:rsidRPr="002656E2">
              <w:rPr>
                <w:rFonts w:ascii="Times New Roman" w:eastAsia="Times New Roman" w:hAnsi="Times New Roman" w:cs="Times New Roman"/>
                <w:color w:val="000000"/>
                <w:sz w:val="24"/>
                <w:szCs w:val="24"/>
              </w:rPr>
              <w:t xml:space="preserve">Daha önce farklı üniversitelerde öğrenim görmüş olan öğrencilerin, en son öğrenim gördükleri üniversite tarafından muafiyet verilen derslerden muaf olmak istemesi durumunda, bu yönetmeliğin sürelerle ilgili esaslarına göre, ilgili dersleri, okudukları yıl ve o üniversitedeki ders içerikleri dikkate alınır. Bu içerikler ve kredi uyumları incelenmeden başka bir üniversite tarafından yapılan muafiyet işlemi değerlendirmeye alınmaz.  </w:t>
            </w:r>
          </w:p>
        </w:tc>
      </w:tr>
      <w:tr w:rsidR="00412D43" w14:paraId="0E698723" w14:textId="77777777" w:rsidTr="0078461E">
        <w:tc>
          <w:tcPr>
            <w:tcW w:w="1864" w:type="dxa"/>
          </w:tcPr>
          <w:p w14:paraId="1604CC88"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5127372D" w14:textId="7C87038E" w:rsidR="00412D43" w:rsidRDefault="00412D43" w:rsidP="00355EB9">
            <w:pPr>
              <w:widowControl w:val="0"/>
              <w:jc w:val="center"/>
              <w:rPr>
                <w:rFonts w:ascii="Times New Roman" w:eastAsia="Times New Roman" w:hAnsi="Times New Roman" w:cs="Times New Roman"/>
                <w:b/>
                <w:color w:val="000000"/>
                <w:sz w:val="24"/>
                <w:szCs w:val="24"/>
              </w:rPr>
            </w:pPr>
          </w:p>
        </w:tc>
        <w:tc>
          <w:tcPr>
            <w:tcW w:w="6540" w:type="dxa"/>
          </w:tcPr>
          <w:p w14:paraId="69A13509" w14:textId="22727370" w:rsidR="00412D43" w:rsidRDefault="00412D43" w:rsidP="002656E2">
            <w:pPr>
              <w:pStyle w:val="ListParagraph"/>
              <w:widowControl w:val="0"/>
              <w:numPr>
                <w:ilvl w:val="0"/>
                <w:numId w:val="3"/>
              </w:numPr>
              <w:pBdr>
                <w:top w:val="nil"/>
                <w:left w:val="nil"/>
                <w:bottom w:val="nil"/>
                <w:right w:val="nil"/>
                <w:between w:val="nil"/>
              </w:pBdr>
              <w:spacing w:before="37" w:line="229" w:lineRule="auto"/>
              <w:ind w:right="105"/>
              <w:jc w:val="both"/>
              <w:rPr>
                <w:rFonts w:ascii="Times New Roman" w:eastAsia="Times New Roman" w:hAnsi="Times New Roman" w:cs="Times New Roman"/>
                <w:color w:val="000000"/>
                <w:sz w:val="24"/>
                <w:szCs w:val="24"/>
              </w:rPr>
            </w:pPr>
            <w:r w:rsidRPr="002656E2">
              <w:rPr>
                <w:rFonts w:ascii="Times New Roman" w:eastAsia="Times New Roman" w:hAnsi="Times New Roman" w:cs="Times New Roman"/>
                <w:color w:val="000000"/>
                <w:sz w:val="24"/>
                <w:szCs w:val="24"/>
              </w:rPr>
              <w:t>Altınbaş Kıbrıs Üniversitesi’nde öğrenim gören öğrenciler</w:t>
            </w:r>
            <w:r w:rsidR="00A23454">
              <w:rPr>
                <w:rFonts w:ascii="Times New Roman" w:eastAsia="Times New Roman" w:hAnsi="Times New Roman" w:cs="Times New Roman"/>
                <w:color w:val="000000"/>
                <w:sz w:val="24"/>
                <w:szCs w:val="24"/>
              </w:rPr>
              <w:t>in programlar arası transferlerinde</w:t>
            </w:r>
            <w:r w:rsidRPr="002656E2">
              <w:rPr>
                <w:rFonts w:ascii="Times New Roman" w:eastAsia="Times New Roman" w:hAnsi="Times New Roman" w:cs="Times New Roman"/>
                <w:color w:val="000000"/>
                <w:sz w:val="24"/>
                <w:szCs w:val="24"/>
              </w:rPr>
              <w:t xml:space="preserve"> ilgili kurullar tarafından muafiyetleri kabul edilen derslerin notları, daha önce aldıkları harf notları olarak işlenir ve (GNO/CGPA) hesaplanmasında değerlendirmeye katılır.  </w:t>
            </w:r>
          </w:p>
          <w:p w14:paraId="687C94E8" w14:textId="314CC7FE" w:rsidR="00680948" w:rsidRPr="002656E2" w:rsidRDefault="00680948" w:rsidP="00680948">
            <w:pPr>
              <w:pStyle w:val="ListParagraph"/>
              <w:widowControl w:val="0"/>
              <w:pBdr>
                <w:top w:val="nil"/>
                <w:left w:val="nil"/>
                <w:bottom w:val="nil"/>
                <w:right w:val="nil"/>
                <w:between w:val="nil"/>
              </w:pBdr>
              <w:spacing w:before="37" w:line="229" w:lineRule="auto"/>
              <w:ind w:left="387" w:right="105"/>
              <w:jc w:val="both"/>
              <w:rPr>
                <w:rFonts w:ascii="Times New Roman" w:eastAsia="Times New Roman" w:hAnsi="Times New Roman" w:cs="Times New Roman"/>
                <w:color w:val="000000"/>
                <w:sz w:val="24"/>
                <w:szCs w:val="24"/>
              </w:rPr>
            </w:pPr>
          </w:p>
        </w:tc>
      </w:tr>
      <w:tr w:rsidR="00412D43" w14:paraId="509786CB" w14:textId="77777777" w:rsidTr="0078461E">
        <w:tc>
          <w:tcPr>
            <w:tcW w:w="1864" w:type="dxa"/>
          </w:tcPr>
          <w:p w14:paraId="0172110D"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Üniversite Dışından Alınan Derslerin Muafiyetleri ve Not İntibakları</w:t>
            </w:r>
          </w:p>
        </w:tc>
        <w:tc>
          <w:tcPr>
            <w:tcW w:w="658" w:type="dxa"/>
          </w:tcPr>
          <w:p w14:paraId="1004D034" w14:textId="7A1C6F8F" w:rsidR="00412D43" w:rsidRDefault="002656E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540" w:type="dxa"/>
          </w:tcPr>
          <w:p w14:paraId="7688830F" w14:textId="5F7FB07F" w:rsidR="00412D43" w:rsidRDefault="00B274EF" w:rsidP="00355EB9">
            <w:pPr>
              <w:widowControl w:val="0"/>
              <w:pBdr>
                <w:top w:val="nil"/>
                <w:left w:val="nil"/>
                <w:bottom w:val="nil"/>
                <w:right w:val="nil"/>
                <w:between w:val="nil"/>
              </w:pBdr>
              <w:spacing w:before="12" w:line="230" w:lineRule="auto"/>
              <w:ind w:left="16" w:right="97"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ALCU</w:t>
            </w:r>
            <w:r w:rsidR="00412D43">
              <w:rPr>
                <w:rFonts w:ascii="Times New Roman" w:eastAsia="Times New Roman" w:hAnsi="Times New Roman" w:cs="Times New Roman"/>
                <w:color w:val="000000"/>
                <w:sz w:val="24"/>
                <w:szCs w:val="24"/>
              </w:rPr>
              <w:t xml:space="preserve"> ye kayıtlı olup “Değişim Öğrencisi” veya “Özel Öğrenci” olarak, “Üniversite Dışından Ders Alma Esasları” kapsamında, “Yaz Okulunda” veya “Değişim Programları” çerçevesinde, başka yükseköğrenim kurumundan aldıkları ve ilgili kurullar tarafından muafiyetleri kabul edilen derslerin, </w:t>
            </w:r>
            <w:r>
              <w:rPr>
                <w:rFonts w:ascii="Times New Roman" w:eastAsia="Times New Roman" w:hAnsi="Times New Roman" w:cs="Times New Roman"/>
                <w:color w:val="000000"/>
                <w:sz w:val="24"/>
                <w:szCs w:val="24"/>
              </w:rPr>
              <w:t>ALCU</w:t>
            </w:r>
            <w:r w:rsidR="00412D43">
              <w:rPr>
                <w:rFonts w:ascii="Times New Roman" w:eastAsia="Times New Roman" w:hAnsi="Times New Roman" w:cs="Times New Roman"/>
                <w:color w:val="000000"/>
                <w:sz w:val="24"/>
                <w:szCs w:val="24"/>
              </w:rPr>
              <w:t xml:space="preserve"> baremindeki geçer not ‘C’ ve üstünün harf notları, kaldığı dersler için ‘F’ notu işlenir ve GNO/CGPA hesaplanmasında değerlendirmeye katılır. </w:t>
            </w:r>
          </w:p>
          <w:p w14:paraId="23B42260" w14:textId="7ADC752F" w:rsidR="00680948" w:rsidRDefault="00680948" w:rsidP="00355EB9">
            <w:pPr>
              <w:widowControl w:val="0"/>
              <w:pBdr>
                <w:top w:val="nil"/>
                <w:left w:val="nil"/>
                <w:bottom w:val="nil"/>
                <w:right w:val="nil"/>
                <w:between w:val="nil"/>
              </w:pBdr>
              <w:spacing w:before="12" w:line="230" w:lineRule="auto"/>
              <w:ind w:left="16" w:right="97" w:firstLine="4"/>
              <w:jc w:val="both"/>
              <w:rPr>
                <w:rFonts w:ascii="Times New Roman" w:eastAsia="Times New Roman" w:hAnsi="Times New Roman" w:cs="Times New Roman"/>
                <w:color w:val="000000"/>
                <w:sz w:val="24"/>
                <w:szCs w:val="24"/>
              </w:rPr>
            </w:pPr>
          </w:p>
        </w:tc>
      </w:tr>
      <w:tr w:rsidR="00412D43" w14:paraId="0C740040" w14:textId="77777777" w:rsidTr="0078461E">
        <w:tc>
          <w:tcPr>
            <w:tcW w:w="1864" w:type="dxa"/>
          </w:tcPr>
          <w:p w14:paraId="601AE7A2" w14:textId="77777777" w:rsidR="00412D43"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sidRPr="00C0442A">
              <w:rPr>
                <w:rFonts w:ascii="Times New Roman" w:eastAsia="Times New Roman" w:hAnsi="Times New Roman" w:cs="Times New Roman"/>
                <w:b/>
                <w:color w:val="000000"/>
                <w:sz w:val="24"/>
                <w:szCs w:val="24"/>
              </w:rPr>
              <w:t xml:space="preserve">Muafiyet ve İntibaklara İtiraz  </w:t>
            </w:r>
          </w:p>
        </w:tc>
        <w:tc>
          <w:tcPr>
            <w:tcW w:w="658" w:type="dxa"/>
          </w:tcPr>
          <w:p w14:paraId="033517C2" w14:textId="0B0FA746" w:rsidR="00412D43" w:rsidRDefault="002656E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6540" w:type="dxa"/>
          </w:tcPr>
          <w:p w14:paraId="62B9541B" w14:textId="77777777" w:rsidR="00412D43" w:rsidRDefault="00412D43" w:rsidP="00355EB9">
            <w:pPr>
              <w:widowControl w:val="0"/>
              <w:pBdr>
                <w:top w:val="nil"/>
                <w:left w:val="nil"/>
                <w:bottom w:val="nil"/>
                <w:right w:val="nil"/>
                <w:between w:val="nil"/>
              </w:pBdr>
              <w:spacing w:before="34" w:line="231" w:lineRule="auto"/>
              <w:ind w:left="16" w:right="99"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Yapılan muafiyet veya intibak sonuçlarına itirazlar, muafiyet işleminin kesinleşip öğrenciye bildirildiği tarihten itibaren en geç (3 iş günü) içinde ilgili birim başkanlığına yapılır. İlgili birim başkanlığı (5 iş günü) içinde öğrenciye sonucu açıklar.  </w:t>
            </w:r>
          </w:p>
          <w:p w14:paraId="26DD2227" w14:textId="1F783C98" w:rsidR="00680948" w:rsidRDefault="00680948" w:rsidP="00355EB9">
            <w:pPr>
              <w:widowControl w:val="0"/>
              <w:pBdr>
                <w:top w:val="nil"/>
                <w:left w:val="nil"/>
                <w:bottom w:val="nil"/>
                <w:right w:val="nil"/>
                <w:between w:val="nil"/>
              </w:pBdr>
              <w:spacing w:before="34" w:line="231" w:lineRule="auto"/>
              <w:ind w:left="16" w:right="99" w:firstLine="2"/>
              <w:jc w:val="both"/>
              <w:rPr>
                <w:rFonts w:ascii="Times New Roman" w:eastAsia="Times New Roman" w:hAnsi="Times New Roman" w:cs="Times New Roman"/>
                <w:color w:val="000000"/>
                <w:sz w:val="24"/>
                <w:szCs w:val="24"/>
              </w:rPr>
            </w:pPr>
          </w:p>
        </w:tc>
      </w:tr>
      <w:tr w:rsidR="00412D43" w14:paraId="5523C8E7" w14:textId="77777777" w:rsidTr="0078461E">
        <w:tc>
          <w:tcPr>
            <w:tcW w:w="1864" w:type="dxa"/>
          </w:tcPr>
          <w:p w14:paraId="593A45B4" w14:textId="77777777"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Muafiyetle İlgili İşlemler  </w:t>
            </w:r>
          </w:p>
          <w:p w14:paraId="2B90FBE9" w14:textId="77777777" w:rsidR="00412D43" w:rsidRPr="00C0442A" w:rsidRDefault="00412D43" w:rsidP="00B374C4">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658" w:type="dxa"/>
          </w:tcPr>
          <w:p w14:paraId="741CD43C" w14:textId="6B6F773D" w:rsidR="00412D43" w:rsidRDefault="002656E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6540" w:type="dxa"/>
          </w:tcPr>
          <w:p w14:paraId="08F44E9B" w14:textId="1291530A" w:rsidR="00412D43" w:rsidRDefault="00412D43" w:rsidP="00355EB9">
            <w:pPr>
              <w:widowControl w:val="0"/>
              <w:pBdr>
                <w:top w:val="nil"/>
                <w:left w:val="nil"/>
                <w:bottom w:val="nil"/>
                <w:right w:val="nil"/>
                <w:between w:val="nil"/>
              </w:pBdr>
              <w:spacing w:before="40" w:line="229" w:lineRule="auto"/>
              <w:ind w:left="16" w:right="97"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Muafiyet işlemleri ilgili </w:t>
            </w:r>
            <w:r w:rsidR="0026162A">
              <w:rPr>
                <w:rFonts w:ascii="Times New Roman" w:eastAsia="Times New Roman" w:hAnsi="Times New Roman" w:cs="Times New Roman"/>
                <w:color w:val="000000"/>
                <w:sz w:val="24"/>
                <w:szCs w:val="24"/>
              </w:rPr>
              <w:t xml:space="preserve">bölüm/ fakülte/ enstitü kurulları </w:t>
            </w:r>
            <w:r>
              <w:rPr>
                <w:rFonts w:ascii="Times New Roman" w:eastAsia="Times New Roman" w:hAnsi="Times New Roman" w:cs="Times New Roman"/>
                <w:color w:val="000000"/>
                <w:sz w:val="24"/>
                <w:szCs w:val="24"/>
              </w:rPr>
              <w:t xml:space="preserve">tarafından yürütülür. Komite raporunu ilgili birimin kuruluna sunar. Kurul karar sonuçlarını öğrencilere elektronik ortamdan bildirir. Kurul kararında, öğrencinin hangi yarıyıla intibak ettirildiği ve öğrencinin daha önce okuduğu dersin kodu, adı, kredisi ve başarı notu ile bu derse karşılık muaf olunan dersin adı, kodu ve kredisi belirtilir.  </w:t>
            </w:r>
          </w:p>
          <w:p w14:paraId="110703A7" w14:textId="1FD351C2" w:rsidR="00680948" w:rsidRDefault="00680948" w:rsidP="00355EB9">
            <w:pPr>
              <w:widowControl w:val="0"/>
              <w:pBdr>
                <w:top w:val="nil"/>
                <w:left w:val="nil"/>
                <w:bottom w:val="nil"/>
                <w:right w:val="nil"/>
                <w:between w:val="nil"/>
              </w:pBdr>
              <w:spacing w:before="40" w:line="229" w:lineRule="auto"/>
              <w:ind w:left="16" w:right="97" w:firstLine="4"/>
              <w:jc w:val="both"/>
              <w:rPr>
                <w:rFonts w:ascii="Times New Roman" w:eastAsia="Times New Roman" w:hAnsi="Times New Roman" w:cs="Times New Roman"/>
                <w:color w:val="000000"/>
                <w:sz w:val="24"/>
                <w:szCs w:val="24"/>
              </w:rPr>
            </w:pPr>
          </w:p>
        </w:tc>
      </w:tr>
      <w:tr w:rsidR="00412D43" w14:paraId="6D51178D" w14:textId="77777777" w:rsidTr="0078461E">
        <w:tc>
          <w:tcPr>
            <w:tcW w:w="1864" w:type="dxa"/>
          </w:tcPr>
          <w:p w14:paraId="3B8E90FA" w14:textId="77777777" w:rsidR="00680948"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Olağanüstü Hallerin Yaşandığı Ülkelerden Gelecek Öğrencilere </w:t>
            </w:r>
          </w:p>
          <w:p w14:paraId="58DF1857" w14:textId="675CADB2" w:rsidR="00412D43" w:rsidRDefault="00412D43"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Muafiyet</w:t>
            </w:r>
          </w:p>
        </w:tc>
        <w:tc>
          <w:tcPr>
            <w:tcW w:w="658" w:type="dxa"/>
          </w:tcPr>
          <w:p w14:paraId="01B593F5" w14:textId="6517E301" w:rsidR="00412D43" w:rsidRDefault="002656E2"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540" w:type="dxa"/>
          </w:tcPr>
          <w:p w14:paraId="2DF9C305" w14:textId="77777777" w:rsidR="00412D43" w:rsidRDefault="00412D43" w:rsidP="00B374C4">
            <w:pPr>
              <w:widowControl w:val="0"/>
              <w:pBdr>
                <w:top w:val="nil"/>
                <w:left w:val="nil"/>
                <w:bottom w:val="nil"/>
                <w:right w:val="nil"/>
                <w:between w:val="nil"/>
              </w:pBdr>
              <w:spacing w:before="12" w:line="229" w:lineRule="auto"/>
              <w:ind w:left="23" w:right="105"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Olağanüstü hallerin yaşandığı ülkelerden Üniversite’ye kabul edilecek öğrencilerin muafiyet işlemleriyle ilgili olarak Rektörlük yetkilidir. </w:t>
            </w:r>
          </w:p>
          <w:p w14:paraId="61BB6651" w14:textId="77777777" w:rsidR="00412D43" w:rsidRDefault="00412D43" w:rsidP="00B374C4">
            <w:pPr>
              <w:widowControl w:val="0"/>
              <w:pBdr>
                <w:top w:val="nil"/>
                <w:left w:val="nil"/>
                <w:bottom w:val="nil"/>
                <w:right w:val="nil"/>
                <w:between w:val="nil"/>
              </w:pBdr>
              <w:spacing w:before="40" w:line="229" w:lineRule="auto"/>
              <w:ind w:left="16" w:right="97" w:firstLine="4"/>
              <w:jc w:val="both"/>
              <w:rPr>
                <w:rFonts w:ascii="Times New Roman" w:eastAsia="Times New Roman" w:hAnsi="Times New Roman" w:cs="Times New Roman"/>
                <w:color w:val="000000"/>
                <w:sz w:val="24"/>
                <w:szCs w:val="24"/>
              </w:rPr>
            </w:pPr>
          </w:p>
        </w:tc>
      </w:tr>
      <w:tr w:rsidR="003164DB" w14:paraId="1082EB4E" w14:textId="77777777" w:rsidTr="0078461E">
        <w:tc>
          <w:tcPr>
            <w:tcW w:w="1864" w:type="dxa"/>
          </w:tcPr>
          <w:p w14:paraId="4DA9EA2F" w14:textId="77777777" w:rsidR="00680948" w:rsidRDefault="00680948"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p w14:paraId="619DEC94" w14:textId="7F1E6F89" w:rsidR="003164DB" w:rsidRDefault="003164DB"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Düzenlenmemiş Konulardaki Uygulama</w:t>
            </w:r>
          </w:p>
        </w:tc>
        <w:tc>
          <w:tcPr>
            <w:tcW w:w="658" w:type="dxa"/>
          </w:tcPr>
          <w:p w14:paraId="657E06EC" w14:textId="77777777" w:rsidR="00680948" w:rsidRDefault="00680948" w:rsidP="00355EB9">
            <w:pPr>
              <w:widowControl w:val="0"/>
              <w:jc w:val="center"/>
              <w:rPr>
                <w:rFonts w:ascii="Times New Roman" w:eastAsia="Times New Roman" w:hAnsi="Times New Roman" w:cs="Times New Roman"/>
                <w:b/>
                <w:color w:val="000000"/>
                <w:sz w:val="24"/>
                <w:szCs w:val="24"/>
              </w:rPr>
            </w:pPr>
          </w:p>
          <w:p w14:paraId="0289CF73" w14:textId="0A89DA07" w:rsidR="003164DB" w:rsidRDefault="003164DB" w:rsidP="00355EB9">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6540" w:type="dxa"/>
          </w:tcPr>
          <w:p w14:paraId="5ADDAB4B" w14:textId="77777777" w:rsidR="00680948" w:rsidRDefault="00680948"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p>
          <w:p w14:paraId="7BE80E8B" w14:textId="2EDC7768" w:rsidR="003164DB" w:rsidRPr="003164DB" w:rsidRDefault="003164DB"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 xml:space="preserve">Bu Yönetmelik’te yer almayan konularda </w:t>
            </w:r>
            <w:r w:rsidR="0078461E">
              <w:rPr>
                <w:rFonts w:ascii="Times New Roman" w:eastAsia="Times New Roman" w:hAnsi="Times New Roman" w:cs="Times New Roman"/>
                <w:bCs/>
                <w:color w:val="000000"/>
                <w:sz w:val="24"/>
                <w:szCs w:val="24"/>
              </w:rPr>
              <w:t>Altınbaş Kıbrıs</w:t>
            </w:r>
            <w:r w:rsidRPr="003164DB">
              <w:rPr>
                <w:rFonts w:ascii="Times New Roman" w:eastAsia="Times New Roman" w:hAnsi="Times New Roman" w:cs="Times New Roman"/>
                <w:bCs/>
                <w:color w:val="000000"/>
                <w:sz w:val="24"/>
                <w:szCs w:val="24"/>
              </w:rPr>
              <w:t xml:space="preserve"> Üniversitesi </w:t>
            </w:r>
            <w:r w:rsidR="0078461E">
              <w:rPr>
                <w:rFonts w:ascii="Times New Roman" w:eastAsia="Times New Roman" w:hAnsi="Times New Roman" w:cs="Times New Roman"/>
                <w:bCs/>
                <w:color w:val="000000"/>
                <w:sz w:val="24"/>
                <w:szCs w:val="24"/>
              </w:rPr>
              <w:t>ana yönetmeliği</w:t>
            </w:r>
            <w:r w:rsidRPr="003164DB">
              <w:rPr>
                <w:rFonts w:ascii="Times New Roman" w:eastAsia="Times New Roman" w:hAnsi="Times New Roman" w:cs="Times New Roman"/>
                <w:bCs/>
                <w:color w:val="000000"/>
                <w:sz w:val="24"/>
                <w:szCs w:val="24"/>
              </w:rPr>
              <w:t xml:space="preserve"> hükümlerine aykırı olmamak şartı ile Üniversite Senatosu’nun kararları uygulanır.</w:t>
            </w:r>
          </w:p>
        </w:tc>
      </w:tr>
      <w:tr w:rsidR="003164DB" w14:paraId="4A7A4EB3" w14:textId="77777777" w:rsidTr="0078461E">
        <w:tc>
          <w:tcPr>
            <w:tcW w:w="1864" w:type="dxa"/>
          </w:tcPr>
          <w:p w14:paraId="526FA32A" w14:textId="77777777" w:rsidR="00680948" w:rsidRDefault="00680948"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p w14:paraId="5AFC60FC" w14:textId="288A085D" w:rsidR="003164DB" w:rsidRPr="003164DB" w:rsidRDefault="003164DB"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Yürürlük</w:t>
            </w:r>
          </w:p>
          <w:p w14:paraId="1FB3D98B" w14:textId="77777777" w:rsidR="003164DB" w:rsidRPr="003164DB" w:rsidRDefault="003164DB"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p>
        </w:tc>
        <w:tc>
          <w:tcPr>
            <w:tcW w:w="658" w:type="dxa"/>
          </w:tcPr>
          <w:p w14:paraId="1CF19FBB" w14:textId="77777777" w:rsidR="00680948" w:rsidRDefault="00680948" w:rsidP="003164DB">
            <w:pPr>
              <w:widowControl w:val="0"/>
              <w:jc w:val="center"/>
              <w:rPr>
                <w:rFonts w:ascii="Times New Roman" w:eastAsia="Times New Roman" w:hAnsi="Times New Roman" w:cs="Times New Roman"/>
                <w:b/>
                <w:color w:val="000000"/>
                <w:sz w:val="24"/>
                <w:szCs w:val="24"/>
              </w:rPr>
            </w:pPr>
          </w:p>
          <w:p w14:paraId="51AD6F41" w14:textId="05014646" w:rsidR="003164DB" w:rsidRDefault="003164DB" w:rsidP="003164DB">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6540" w:type="dxa"/>
          </w:tcPr>
          <w:p w14:paraId="45FA25D4" w14:textId="77777777" w:rsidR="00680948" w:rsidRDefault="00680948"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p>
          <w:p w14:paraId="46BF3B25" w14:textId="77777777" w:rsidR="003164DB" w:rsidRDefault="003164DB"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p w14:paraId="0591EE94" w14:textId="6E18C15F" w:rsidR="00680948" w:rsidRPr="003164DB" w:rsidRDefault="00680948"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p>
        </w:tc>
      </w:tr>
      <w:tr w:rsidR="003164DB" w14:paraId="027CF385" w14:textId="77777777" w:rsidTr="0078461E">
        <w:tc>
          <w:tcPr>
            <w:tcW w:w="1864" w:type="dxa"/>
          </w:tcPr>
          <w:p w14:paraId="69F7C2E2" w14:textId="69AC8557" w:rsidR="003164DB" w:rsidRPr="003164DB" w:rsidRDefault="003164DB" w:rsidP="00B374C4">
            <w:pPr>
              <w:widowControl w:val="0"/>
              <w:pBdr>
                <w:top w:val="nil"/>
                <w:left w:val="nil"/>
                <w:bottom w:val="nil"/>
                <w:right w:val="nil"/>
                <w:between w:val="nil"/>
              </w:pBdr>
              <w:ind w:left="21"/>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Yürütme Yetkisi</w:t>
            </w:r>
          </w:p>
        </w:tc>
        <w:tc>
          <w:tcPr>
            <w:tcW w:w="658" w:type="dxa"/>
          </w:tcPr>
          <w:p w14:paraId="60FC4844" w14:textId="6BE37625" w:rsidR="003164DB" w:rsidRDefault="003164DB" w:rsidP="003164DB">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6540" w:type="dxa"/>
          </w:tcPr>
          <w:p w14:paraId="496D55AF" w14:textId="24299100" w:rsidR="003164DB" w:rsidRPr="003164DB" w:rsidRDefault="003164DB" w:rsidP="00B374C4">
            <w:pPr>
              <w:widowControl w:val="0"/>
              <w:pBdr>
                <w:top w:val="nil"/>
                <w:left w:val="nil"/>
                <w:bottom w:val="nil"/>
                <w:right w:val="nil"/>
                <w:between w:val="nil"/>
              </w:pBdr>
              <w:ind w:left="2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Rektörlüğü tarafından yürütür.</w:t>
            </w:r>
          </w:p>
        </w:tc>
      </w:tr>
    </w:tbl>
    <w:p w14:paraId="5B016C2A" w14:textId="77777777" w:rsidR="00412D43" w:rsidRDefault="00412D43" w:rsidP="00412D43">
      <w:pPr>
        <w:widowControl w:val="0"/>
        <w:pBdr>
          <w:top w:val="nil"/>
          <w:left w:val="nil"/>
          <w:bottom w:val="nil"/>
          <w:right w:val="nil"/>
          <w:between w:val="nil"/>
        </w:pBdr>
        <w:spacing w:before="314" w:line="240" w:lineRule="auto"/>
        <w:jc w:val="center"/>
        <w:rPr>
          <w:rFonts w:ascii="Times New Roman" w:eastAsia="Times New Roman" w:hAnsi="Times New Roman" w:cs="Times New Roman"/>
          <w:b/>
          <w:color w:val="000000"/>
          <w:sz w:val="24"/>
          <w:szCs w:val="24"/>
        </w:rPr>
      </w:pPr>
    </w:p>
    <w:p w14:paraId="5E221072" w14:textId="77777777" w:rsidR="005508D2" w:rsidRDefault="005508D2"/>
    <w:sectPr w:rsidR="005508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5B71" w14:textId="77777777" w:rsidR="00815099" w:rsidRDefault="00815099" w:rsidP="00215787">
      <w:pPr>
        <w:spacing w:line="240" w:lineRule="auto"/>
      </w:pPr>
      <w:r>
        <w:separator/>
      </w:r>
    </w:p>
  </w:endnote>
  <w:endnote w:type="continuationSeparator" w:id="0">
    <w:p w14:paraId="1597D424" w14:textId="77777777" w:rsidR="00815099" w:rsidRDefault="00815099" w:rsidP="00215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137816"/>
      <w:docPartObj>
        <w:docPartGallery w:val="Page Numbers (Bottom of Page)"/>
        <w:docPartUnique/>
      </w:docPartObj>
    </w:sdtPr>
    <w:sdtEndPr>
      <w:rPr>
        <w:noProof/>
      </w:rPr>
    </w:sdtEndPr>
    <w:sdtContent>
      <w:p w14:paraId="41C7BA1A" w14:textId="5D5B54BD" w:rsidR="00215787" w:rsidRDefault="00215787">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206638A7" w14:textId="77777777" w:rsidR="00215787" w:rsidRDefault="00215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6C53" w14:textId="77777777" w:rsidR="00815099" w:rsidRDefault="00815099" w:rsidP="00215787">
      <w:pPr>
        <w:spacing w:line="240" w:lineRule="auto"/>
      </w:pPr>
      <w:r>
        <w:separator/>
      </w:r>
    </w:p>
  </w:footnote>
  <w:footnote w:type="continuationSeparator" w:id="0">
    <w:p w14:paraId="1A855322" w14:textId="77777777" w:rsidR="00815099" w:rsidRDefault="00815099" w:rsidP="002157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BC8"/>
    <w:multiLevelType w:val="hybridMultilevel"/>
    <w:tmpl w:val="1E2AAEA2"/>
    <w:lvl w:ilvl="0" w:tplc="AA3424B2">
      <w:start w:val="1"/>
      <w:numFmt w:val="lowerLetter"/>
      <w:lvlText w:val="%1)"/>
      <w:lvlJc w:val="left"/>
      <w:pPr>
        <w:ind w:left="413" w:hanging="360"/>
      </w:pPr>
      <w:rPr>
        <w:rFonts w:hint="default"/>
      </w:rPr>
    </w:lvl>
    <w:lvl w:ilvl="1" w:tplc="041F0019" w:tentative="1">
      <w:start w:val="1"/>
      <w:numFmt w:val="lowerLetter"/>
      <w:lvlText w:val="%2."/>
      <w:lvlJc w:val="left"/>
      <w:pPr>
        <w:ind w:left="1133" w:hanging="360"/>
      </w:pPr>
    </w:lvl>
    <w:lvl w:ilvl="2" w:tplc="041F001B" w:tentative="1">
      <w:start w:val="1"/>
      <w:numFmt w:val="lowerRoman"/>
      <w:lvlText w:val="%3."/>
      <w:lvlJc w:val="right"/>
      <w:pPr>
        <w:ind w:left="1853" w:hanging="180"/>
      </w:pPr>
    </w:lvl>
    <w:lvl w:ilvl="3" w:tplc="041F000F" w:tentative="1">
      <w:start w:val="1"/>
      <w:numFmt w:val="decimal"/>
      <w:lvlText w:val="%4."/>
      <w:lvlJc w:val="left"/>
      <w:pPr>
        <w:ind w:left="2573" w:hanging="360"/>
      </w:pPr>
    </w:lvl>
    <w:lvl w:ilvl="4" w:tplc="041F0019" w:tentative="1">
      <w:start w:val="1"/>
      <w:numFmt w:val="lowerLetter"/>
      <w:lvlText w:val="%5."/>
      <w:lvlJc w:val="left"/>
      <w:pPr>
        <w:ind w:left="3293" w:hanging="360"/>
      </w:pPr>
    </w:lvl>
    <w:lvl w:ilvl="5" w:tplc="041F001B" w:tentative="1">
      <w:start w:val="1"/>
      <w:numFmt w:val="lowerRoman"/>
      <w:lvlText w:val="%6."/>
      <w:lvlJc w:val="right"/>
      <w:pPr>
        <w:ind w:left="4013" w:hanging="180"/>
      </w:pPr>
    </w:lvl>
    <w:lvl w:ilvl="6" w:tplc="041F000F" w:tentative="1">
      <w:start w:val="1"/>
      <w:numFmt w:val="decimal"/>
      <w:lvlText w:val="%7."/>
      <w:lvlJc w:val="left"/>
      <w:pPr>
        <w:ind w:left="4733" w:hanging="360"/>
      </w:pPr>
    </w:lvl>
    <w:lvl w:ilvl="7" w:tplc="041F0019" w:tentative="1">
      <w:start w:val="1"/>
      <w:numFmt w:val="lowerLetter"/>
      <w:lvlText w:val="%8."/>
      <w:lvlJc w:val="left"/>
      <w:pPr>
        <w:ind w:left="5453" w:hanging="360"/>
      </w:pPr>
    </w:lvl>
    <w:lvl w:ilvl="8" w:tplc="041F001B" w:tentative="1">
      <w:start w:val="1"/>
      <w:numFmt w:val="lowerRoman"/>
      <w:lvlText w:val="%9."/>
      <w:lvlJc w:val="right"/>
      <w:pPr>
        <w:ind w:left="6173" w:hanging="180"/>
      </w:pPr>
    </w:lvl>
  </w:abstractNum>
  <w:abstractNum w:abstractNumId="1" w15:restartNumberingAfterBreak="0">
    <w:nsid w:val="1ADF05A0"/>
    <w:multiLevelType w:val="hybridMultilevel"/>
    <w:tmpl w:val="AE70AA9E"/>
    <w:lvl w:ilvl="0" w:tplc="13DC226A">
      <w:start w:val="1"/>
      <w:numFmt w:val="lowerLetter"/>
      <w:lvlText w:val="%1)"/>
      <w:lvlJc w:val="left"/>
      <w:pPr>
        <w:ind w:left="387" w:hanging="360"/>
      </w:pPr>
      <w:rPr>
        <w:rFonts w:hint="default"/>
      </w:rPr>
    </w:lvl>
    <w:lvl w:ilvl="1" w:tplc="041F0019" w:tentative="1">
      <w:start w:val="1"/>
      <w:numFmt w:val="lowerLetter"/>
      <w:lvlText w:val="%2."/>
      <w:lvlJc w:val="left"/>
      <w:pPr>
        <w:ind w:left="1107" w:hanging="360"/>
      </w:pPr>
    </w:lvl>
    <w:lvl w:ilvl="2" w:tplc="041F001B" w:tentative="1">
      <w:start w:val="1"/>
      <w:numFmt w:val="lowerRoman"/>
      <w:lvlText w:val="%3."/>
      <w:lvlJc w:val="right"/>
      <w:pPr>
        <w:ind w:left="1827" w:hanging="180"/>
      </w:pPr>
    </w:lvl>
    <w:lvl w:ilvl="3" w:tplc="041F000F" w:tentative="1">
      <w:start w:val="1"/>
      <w:numFmt w:val="decimal"/>
      <w:lvlText w:val="%4."/>
      <w:lvlJc w:val="left"/>
      <w:pPr>
        <w:ind w:left="2547" w:hanging="360"/>
      </w:pPr>
    </w:lvl>
    <w:lvl w:ilvl="4" w:tplc="041F0019" w:tentative="1">
      <w:start w:val="1"/>
      <w:numFmt w:val="lowerLetter"/>
      <w:lvlText w:val="%5."/>
      <w:lvlJc w:val="left"/>
      <w:pPr>
        <w:ind w:left="3267" w:hanging="360"/>
      </w:pPr>
    </w:lvl>
    <w:lvl w:ilvl="5" w:tplc="041F001B" w:tentative="1">
      <w:start w:val="1"/>
      <w:numFmt w:val="lowerRoman"/>
      <w:lvlText w:val="%6."/>
      <w:lvlJc w:val="right"/>
      <w:pPr>
        <w:ind w:left="3987" w:hanging="180"/>
      </w:pPr>
    </w:lvl>
    <w:lvl w:ilvl="6" w:tplc="041F000F" w:tentative="1">
      <w:start w:val="1"/>
      <w:numFmt w:val="decimal"/>
      <w:lvlText w:val="%7."/>
      <w:lvlJc w:val="left"/>
      <w:pPr>
        <w:ind w:left="4707" w:hanging="360"/>
      </w:pPr>
    </w:lvl>
    <w:lvl w:ilvl="7" w:tplc="041F0019" w:tentative="1">
      <w:start w:val="1"/>
      <w:numFmt w:val="lowerLetter"/>
      <w:lvlText w:val="%8."/>
      <w:lvlJc w:val="left"/>
      <w:pPr>
        <w:ind w:left="5427" w:hanging="360"/>
      </w:pPr>
    </w:lvl>
    <w:lvl w:ilvl="8" w:tplc="041F001B" w:tentative="1">
      <w:start w:val="1"/>
      <w:numFmt w:val="lowerRoman"/>
      <w:lvlText w:val="%9."/>
      <w:lvlJc w:val="right"/>
      <w:pPr>
        <w:ind w:left="6147" w:hanging="180"/>
      </w:pPr>
    </w:lvl>
  </w:abstractNum>
  <w:abstractNum w:abstractNumId="2" w15:restartNumberingAfterBreak="0">
    <w:nsid w:val="2BCC61B8"/>
    <w:multiLevelType w:val="hybridMultilevel"/>
    <w:tmpl w:val="D2D6088E"/>
    <w:lvl w:ilvl="0" w:tplc="B70E2CB8">
      <w:start w:val="1"/>
      <w:numFmt w:val="lowerLetter"/>
      <w:lvlText w:val="%1)"/>
      <w:lvlJc w:val="left"/>
      <w:pPr>
        <w:ind w:left="404" w:hanging="360"/>
      </w:pPr>
      <w:rPr>
        <w:rFonts w:hint="default"/>
      </w:rPr>
    </w:lvl>
    <w:lvl w:ilvl="1" w:tplc="041F0019" w:tentative="1">
      <w:start w:val="1"/>
      <w:numFmt w:val="lowerLetter"/>
      <w:lvlText w:val="%2."/>
      <w:lvlJc w:val="left"/>
      <w:pPr>
        <w:ind w:left="1124" w:hanging="360"/>
      </w:pPr>
    </w:lvl>
    <w:lvl w:ilvl="2" w:tplc="041F001B" w:tentative="1">
      <w:start w:val="1"/>
      <w:numFmt w:val="lowerRoman"/>
      <w:lvlText w:val="%3."/>
      <w:lvlJc w:val="right"/>
      <w:pPr>
        <w:ind w:left="1844" w:hanging="180"/>
      </w:pPr>
    </w:lvl>
    <w:lvl w:ilvl="3" w:tplc="041F000F" w:tentative="1">
      <w:start w:val="1"/>
      <w:numFmt w:val="decimal"/>
      <w:lvlText w:val="%4."/>
      <w:lvlJc w:val="left"/>
      <w:pPr>
        <w:ind w:left="2564" w:hanging="360"/>
      </w:pPr>
    </w:lvl>
    <w:lvl w:ilvl="4" w:tplc="041F0019" w:tentative="1">
      <w:start w:val="1"/>
      <w:numFmt w:val="lowerLetter"/>
      <w:lvlText w:val="%5."/>
      <w:lvlJc w:val="left"/>
      <w:pPr>
        <w:ind w:left="3284" w:hanging="360"/>
      </w:pPr>
    </w:lvl>
    <w:lvl w:ilvl="5" w:tplc="041F001B" w:tentative="1">
      <w:start w:val="1"/>
      <w:numFmt w:val="lowerRoman"/>
      <w:lvlText w:val="%6."/>
      <w:lvlJc w:val="right"/>
      <w:pPr>
        <w:ind w:left="4004" w:hanging="180"/>
      </w:pPr>
    </w:lvl>
    <w:lvl w:ilvl="6" w:tplc="041F000F" w:tentative="1">
      <w:start w:val="1"/>
      <w:numFmt w:val="decimal"/>
      <w:lvlText w:val="%7."/>
      <w:lvlJc w:val="left"/>
      <w:pPr>
        <w:ind w:left="4724" w:hanging="360"/>
      </w:pPr>
    </w:lvl>
    <w:lvl w:ilvl="7" w:tplc="041F0019" w:tentative="1">
      <w:start w:val="1"/>
      <w:numFmt w:val="lowerLetter"/>
      <w:lvlText w:val="%8."/>
      <w:lvlJc w:val="left"/>
      <w:pPr>
        <w:ind w:left="5444" w:hanging="360"/>
      </w:pPr>
    </w:lvl>
    <w:lvl w:ilvl="8" w:tplc="041F001B" w:tentative="1">
      <w:start w:val="1"/>
      <w:numFmt w:val="lowerRoman"/>
      <w:lvlText w:val="%9."/>
      <w:lvlJc w:val="right"/>
      <w:pPr>
        <w:ind w:left="6164" w:hanging="180"/>
      </w:pPr>
    </w:lvl>
  </w:abstractNum>
  <w:abstractNum w:abstractNumId="3" w15:restartNumberingAfterBreak="0">
    <w:nsid w:val="72FB66B4"/>
    <w:multiLevelType w:val="hybridMultilevel"/>
    <w:tmpl w:val="A42A6008"/>
    <w:lvl w:ilvl="0" w:tplc="C194E3B2">
      <w:start w:val="1"/>
      <w:numFmt w:val="lowerLetter"/>
      <w:lvlText w:val="%1)"/>
      <w:lvlJc w:val="left"/>
      <w:pPr>
        <w:ind w:left="383" w:hanging="360"/>
      </w:pPr>
      <w:rPr>
        <w:rFonts w:hint="default"/>
      </w:rPr>
    </w:lvl>
    <w:lvl w:ilvl="1" w:tplc="041F0019" w:tentative="1">
      <w:start w:val="1"/>
      <w:numFmt w:val="lowerLetter"/>
      <w:lvlText w:val="%2."/>
      <w:lvlJc w:val="left"/>
      <w:pPr>
        <w:ind w:left="1103" w:hanging="360"/>
      </w:pPr>
    </w:lvl>
    <w:lvl w:ilvl="2" w:tplc="041F001B" w:tentative="1">
      <w:start w:val="1"/>
      <w:numFmt w:val="lowerRoman"/>
      <w:lvlText w:val="%3."/>
      <w:lvlJc w:val="right"/>
      <w:pPr>
        <w:ind w:left="1823" w:hanging="180"/>
      </w:pPr>
    </w:lvl>
    <w:lvl w:ilvl="3" w:tplc="041F000F" w:tentative="1">
      <w:start w:val="1"/>
      <w:numFmt w:val="decimal"/>
      <w:lvlText w:val="%4."/>
      <w:lvlJc w:val="left"/>
      <w:pPr>
        <w:ind w:left="2543" w:hanging="360"/>
      </w:pPr>
    </w:lvl>
    <w:lvl w:ilvl="4" w:tplc="041F0019" w:tentative="1">
      <w:start w:val="1"/>
      <w:numFmt w:val="lowerLetter"/>
      <w:lvlText w:val="%5."/>
      <w:lvlJc w:val="left"/>
      <w:pPr>
        <w:ind w:left="3263" w:hanging="360"/>
      </w:pPr>
    </w:lvl>
    <w:lvl w:ilvl="5" w:tplc="041F001B" w:tentative="1">
      <w:start w:val="1"/>
      <w:numFmt w:val="lowerRoman"/>
      <w:lvlText w:val="%6."/>
      <w:lvlJc w:val="right"/>
      <w:pPr>
        <w:ind w:left="3983" w:hanging="180"/>
      </w:pPr>
    </w:lvl>
    <w:lvl w:ilvl="6" w:tplc="041F000F" w:tentative="1">
      <w:start w:val="1"/>
      <w:numFmt w:val="decimal"/>
      <w:lvlText w:val="%7."/>
      <w:lvlJc w:val="left"/>
      <w:pPr>
        <w:ind w:left="4703" w:hanging="360"/>
      </w:pPr>
    </w:lvl>
    <w:lvl w:ilvl="7" w:tplc="041F0019" w:tentative="1">
      <w:start w:val="1"/>
      <w:numFmt w:val="lowerLetter"/>
      <w:lvlText w:val="%8."/>
      <w:lvlJc w:val="left"/>
      <w:pPr>
        <w:ind w:left="5423" w:hanging="360"/>
      </w:pPr>
    </w:lvl>
    <w:lvl w:ilvl="8" w:tplc="041F001B" w:tentative="1">
      <w:start w:val="1"/>
      <w:numFmt w:val="lowerRoman"/>
      <w:lvlText w:val="%9."/>
      <w:lvlJc w:val="right"/>
      <w:pPr>
        <w:ind w:left="6143" w:hanging="180"/>
      </w:pPr>
    </w:lvl>
  </w:abstractNum>
  <w:abstractNum w:abstractNumId="4" w15:restartNumberingAfterBreak="0">
    <w:nsid w:val="76422233"/>
    <w:multiLevelType w:val="hybridMultilevel"/>
    <w:tmpl w:val="5F223706"/>
    <w:lvl w:ilvl="0" w:tplc="041F001B">
      <w:start w:val="1"/>
      <w:numFmt w:val="lowerRoman"/>
      <w:lvlText w:val="%1."/>
      <w:lvlJc w:val="right"/>
      <w:pPr>
        <w:ind w:left="773" w:hanging="360"/>
      </w:p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43"/>
    <w:rsid w:val="00215787"/>
    <w:rsid w:val="0026162A"/>
    <w:rsid w:val="002656E2"/>
    <w:rsid w:val="003164DB"/>
    <w:rsid w:val="003E53DB"/>
    <w:rsid w:val="00412D43"/>
    <w:rsid w:val="00524ED8"/>
    <w:rsid w:val="005508D2"/>
    <w:rsid w:val="00680948"/>
    <w:rsid w:val="006950BF"/>
    <w:rsid w:val="0078461E"/>
    <w:rsid w:val="007B389A"/>
    <w:rsid w:val="00815099"/>
    <w:rsid w:val="00922EC1"/>
    <w:rsid w:val="009D260B"/>
    <w:rsid w:val="00A23454"/>
    <w:rsid w:val="00B249E5"/>
    <w:rsid w:val="00B274EF"/>
    <w:rsid w:val="00B374C4"/>
    <w:rsid w:val="00BC0211"/>
    <w:rsid w:val="00C45182"/>
    <w:rsid w:val="00C85CC0"/>
    <w:rsid w:val="00EA3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1EF1"/>
  <w15:chartTrackingRefBased/>
  <w15:docId w15:val="{0D15C504-28C5-46C6-8C76-1175AE10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D43"/>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D43"/>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182"/>
    <w:pPr>
      <w:ind w:left="720"/>
      <w:contextualSpacing/>
    </w:pPr>
  </w:style>
  <w:style w:type="paragraph" w:styleId="NoSpacing">
    <w:name w:val="No Spacing"/>
    <w:uiPriority w:val="1"/>
    <w:qFormat/>
    <w:rsid w:val="00B374C4"/>
    <w:pPr>
      <w:spacing w:after="0" w:line="240" w:lineRule="auto"/>
    </w:pPr>
    <w:rPr>
      <w:rFonts w:ascii="Arial" w:eastAsia="Arial" w:hAnsi="Arial" w:cs="Arial"/>
      <w:lang w:eastAsia="tr-TR"/>
    </w:rPr>
  </w:style>
  <w:style w:type="paragraph" w:styleId="Header">
    <w:name w:val="header"/>
    <w:basedOn w:val="Normal"/>
    <w:link w:val="HeaderChar"/>
    <w:uiPriority w:val="99"/>
    <w:unhideWhenUsed/>
    <w:rsid w:val="00215787"/>
    <w:pPr>
      <w:tabs>
        <w:tab w:val="center" w:pos="4680"/>
        <w:tab w:val="right" w:pos="9360"/>
      </w:tabs>
      <w:spacing w:line="240" w:lineRule="auto"/>
    </w:pPr>
  </w:style>
  <w:style w:type="character" w:customStyle="1" w:styleId="HeaderChar">
    <w:name w:val="Header Char"/>
    <w:basedOn w:val="DefaultParagraphFont"/>
    <w:link w:val="Header"/>
    <w:uiPriority w:val="99"/>
    <w:rsid w:val="00215787"/>
    <w:rPr>
      <w:rFonts w:ascii="Arial" w:eastAsia="Arial" w:hAnsi="Arial" w:cs="Arial"/>
      <w:lang w:eastAsia="tr-TR"/>
    </w:rPr>
  </w:style>
  <w:style w:type="paragraph" w:styleId="Footer">
    <w:name w:val="footer"/>
    <w:basedOn w:val="Normal"/>
    <w:link w:val="FooterChar"/>
    <w:uiPriority w:val="99"/>
    <w:unhideWhenUsed/>
    <w:rsid w:val="00215787"/>
    <w:pPr>
      <w:tabs>
        <w:tab w:val="center" w:pos="4680"/>
        <w:tab w:val="right" w:pos="9360"/>
      </w:tabs>
      <w:spacing w:line="240" w:lineRule="auto"/>
    </w:pPr>
  </w:style>
  <w:style w:type="character" w:customStyle="1" w:styleId="FooterChar">
    <w:name w:val="Footer Char"/>
    <w:basedOn w:val="DefaultParagraphFont"/>
    <w:link w:val="Footer"/>
    <w:uiPriority w:val="99"/>
    <w:rsid w:val="00215787"/>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ACEC-D6CF-4547-9A59-B210CF6B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9</cp:revision>
  <dcterms:created xsi:type="dcterms:W3CDTF">2025-08-28T08:22:00Z</dcterms:created>
  <dcterms:modified xsi:type="dcterms:W3CDTF">2025-10-24T13:28:00Z</dcterms:modified>
</cp:coreProperties>
</file>