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9397" w14:textId="01B6CEB0" w:rsidR="002A29E5" w:rsidRPr="002A29E5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23F626" wp14:editId="79A1668F">
            <wp:simplePos x="0" y="0"/>
            <wp:positionH relativeFrom="margin">
              <wp:posOffset>2194560</wp:posOffset>
            </wp:positionH>
            <wp:positionV relativeFrom="margin">
              <wp:posOffset>-457200</wp:posOffset>
            </wp:positionV>
            <wp:extent cx="1371600" cy="1371600"/>
            <wp:effectExtent l="0" t="0" r="0" b="0"/>
            <wp:wrapSquare wrapText="bothSides"/>
            <wp:docPr id="33326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67356" name="Picture 3332673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27044" w14:textId="77777777" w:rsidR="005F55F8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5BCE4C" w14:textId="77777777" w:rsidR="005F55F8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2D158" w14:textId="77777777" w:rsidR="005F55F8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A2160A" w14:textId="77777777" w:rsidR="005F55F8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460C0C" w14:textId="77777777" w:rsidR="005F55F8" w:rsidRDefault="005F55F8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21BE8E" w14:textId="453458F8" w:rsidR="002A29E5" w:rsidRPr="005F55F8" w:rsidRDefault="002A29E5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F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ALTINBAŞ KIBRIS ÜNİVERSİTESİ</w:t>
      </w:r>
    </w:p>
    <w:p w14:paraId="2E9817FE" w14:textId="77777777" w:rsidR="002A29E5" w:rsidRPr="005F55F8" w:rsidRDefault="002A29E5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5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(DÜNYA BARIŞ ÜNİVERSİTESİ)</w:t>
      </w:r>
    </w:p>
    <w:p w14:paraId="1BDD2CEA" w14:textId="77777777" w:rsidR="002A29E5" w:rsidRPr="005F55F8" w:rsidRDefault="002A29E5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F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F10C4FC" w14:textId="23BDC1B2" w:rsidR="002A29E5" w:rsidRDefault="002A29E5" w:rsidP="002A2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F55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YAZ DÖNEMİ DERS YÖNETMELİĞİ</w:t>
      </w:r>
    </w:p>
    <w:p w14:paraId="4FAB846D" w14:textId="75CAEE7F" w:rsidR="005F55F8" w:rsidRDefault="005F55F8" w:rsidP="002A29E5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55C6CE8" w14:textId="77777777" w:rsidR="005F55F8" w:rsidRPr="005F55F8" w:rsidRDefault="005F55F8" w:rsidP="002A29E5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05CAC16" w14:textId="32A7EDA0" w:rsidR="002A29E5" w:rsidRDefault="002A29E5" w:rsidP="006F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706"/>
        <w:gridCol w:w="5565"/>
      </w:tblGrid>
      <w:tr w:rsidR="002A29E5" w14:paraId="270ACB30" w14:textId="77777777" w:rsidTr="005657AD">
        <w:tc>
          <w:tcPr>
            <w:tcW w:w="2791" w:type="dxa"/>
          </w:tcPr>
          <w:p w14:paraId="1244CAE4" w14:textId="5AB8904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Kısa İsim</w:t>
            </w:r>
          </w:p>
        </w:tc>
        <w:tc>
          <w:tcPr>
            <w:tcW w:w="706" w:type="dxa"/>
          </w:tcPr>
          <w:p w14:paraId="742852CF" w14:textId="7583D113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14:paraId="49FDC210" w14:textId="6F53DB47" w:rsid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1" w:lineRule="auto"/>
              <w:ind w:left="18" w:right="95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 Yönetmelik, “Yaz Dönemi Ders Yönetmeliği” olarak isimlendirilir.</w:t>
            </w:r>
          </w:p>
        </w:tc>
      </w:tr>
      <w:tr w:rsidR="002A29E5" w14:paraId="45E9C7C2" w14:textId="77777777" w:rsidTr="005657AD">
        <w:tc>
          <w:tcPr>
            <w:tcW w:w="2791" w:type="dxa"/>
          </w:tcPr>
          <w:p w14:paraId="264AD40E" w14:textId="63A6CF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Amaç </w:t>
            </w:r>
          </w:p>
        </w:tc>
        <w:tc>
          <w:tcPr>
            <w:tcW w:w="706" w:type="dxa"/>
          </w:tcPr>
          <w:p w14:paraId="1FB5E53F" w14:textId="04AAB0F1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2028524B" w14:textId="26C338E0" w:rsidR="002A29E5" w:rsidRP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1" w:lineRule="auto"/>
              <w:ind w:left="18" w:right="95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Yönetmelik,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Altınbaş Kıbrıs</w:t>
            </w: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Üniversitesi Yaz Dönemi derslerinin kayıt, ücret, sınav, başarı ve değerlendirilmesine ilişkin esasları düzenlemeyi amaçlar.</w:t>
            </w:r>
          </w:p>
        </w:tc>
      </w:tr>
      <w:tr w:rsidR="002A29E5" w14:paraId="513ED730" w14:textId="77777777" w:rsidTr="005657AD">
        <w:tc>
          <w:tcPr>
            <w:tcW w:w="2791" w:type="dxa"/>
          </w:tcPr>
          <w:p w14:paraId="1751D9A4" w14:textId="24F4901B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Kapsam</w:t>
            </w:r>
          </w:p>
        </w:tc>
        <w:tc>
          <w:tcPr>
            <w:tcW w:w="706" w:type="dxa"/>
          </w:tcPr>
          <w:p w14:paraId="3A172E56" w14:textId="44902799" w:rsidR="002A29E5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5" w:type="dxa"/>
          </w:tcPr>
          <w:p w14:paraId="26597734" w14:textId="678FF49D" w:rsidR="002A29E5" w:rsidRPr="002A29E5" w:rsidRDefault="002A29E5" w:rsidP="002A2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1" w:lineRule="auto"/>
              <w:ind w:left="18" w:right="95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Yönetmelik,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Altınbaş Kıbrıs</w:t>
            </w: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Üniversitesinde yaz dönemi eğitim öğretimi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 uygulanacak esaslara ilişkin hükümleri kapsar.</w:t>
            </w:r>
          </w:p>
        </w:tc>
      </w:tr>
      <w:tr w:rsidR="002A29E5" w14:paraId="1A1235C7" w14:textId="77777777" w:rsidTr="005657AD">
        <w:tc>
          <w:tcPr>
            <w:tcW w:w="2791" w:type="dxa"/>
          </w:tcPr>
          <w:p w14:paraId="5299BCD3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6EEDCE28" w14:textId="097BB968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340AB6C3" w14:textId="7F102FEB" w:rsid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1" w:lineRule="auto"/>
              <w:ind w:left="18" w:right="95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29E5" w14:paraId="1443B9F8" w14:textId="77777777" w:rsidTr="005657AD">
        <w:trPr>
          <w:trHeight w:val="4959"/>
        </w:trPr>
        <w:tc>
          <w:tcPr>
            <w:tcW w:w="2791" w:type="dxa"/>
          </w:tcPr>
          <w:p w14:paraId="47A5CC17" w14:textId="2F7B81AF" w:rsidR="002A29E5" w:rsidRDefault="00423BC0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Yaz Döneminin </w:t>
            </w:r>
            <w:r w:rsidR="002A2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cı</w:t>
            </w:r>
            <w:r w:rsidR="002A2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935C0E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363F6CCA" w14:textId="694BF74A" w:rsidR="002A29E5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5" w:type="dxa"/>
          </w:tcPr>
          <w:p w14:paraId="5506B561" w14:textId="77777777" w:rsidR="00423BC0" w:rsidRPr="00423BC0" w:rsidRDefault="00423BC0" w:rsidP="00423BC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Üniversitenin eğitim ve öğretim olanaklarının yaz aylarında da değerlendirilmesi.</w:t>
            </w:r>
          </w:p>
          <w:p w14:paraId="47A2D824" w14:textId="16904CF4" w:rsidR="00423BC0" w:rsidRPr="00423BC0" w:rsidRDefault="00423BC0" w:rsidP="00423BC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Çift </w:t>
            </w:r>
            <w:proofErr w:type="spellStart"/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anadal</w:t>
            </w:r>
            <w:proofErr w:type="spellEnd"/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yandal</w:t>
            </w:r>
            <w:proofErr w:type="spellEnd"/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programlarına kayıtlı öğrencilere bu programları izlemede rahatlık sağlanması.</w:t>
            </w:r>
          </w:p>
          <w:p w14:paraId="7D955519" w14:textId="0B50E7DD" w:rsidR="002A29E5" w:rsidRPr="00423BC0" w:rsidRDefault="00423BC0" w:rsidP="00423BC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Bölümlerde meydana gelen öğrenci yığılmalarının giderilerek eğitimin veriminin artırılması.</w:t>
            </w:r>
          </w:p>
          <w:p w14:paraId="3A3D43D8" w14:textId="4E4664C9" w:rsidR="002A29E5" w:rsidRPr="005362E8" w:rsidRDefault="002A29E5" w:rsidP="0045660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Bazı derslerden başarısız olup, Üniversiteye devam hakkı olan öğrencilere bu derslerinde başarı fırsatı verip düzenli (</w:t>
            </w:r>
            <w:proofErr w:type="spellStart"/>
            <w:r w:rsidRPr="005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regular</w:t>
            </w:r>
            <w:proofErr w:type="spellEnd"/>
            <w:r w:rsidRPr="005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duruma geçmelerini sağlamak,  </w:t>
            </w:r>
          </w:p>
          <w:p w14:paraId="5B6093BA" w14:textId="77777777" w:rsidR="002A29E5" w:rsidRPr="005362E8" w:rsidRDefault="002A29E5" w:rsidP="0045660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9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Başarılı olan öğrencilere, kayıtlı bulundukları programları normal süreden önce tamamlamalarına olanak sağlamak,  </w:t>
            </w:r>
          </w:p>
          <w:p w14:paraId="231033BE" w14:textId="5C98000A" w:rsidR="002A29E5" w:rsidRPr="005362E8" w:rsidRDefault="002A29E5" w:rsidP="0045660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29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Başarılı olan öğrencilere, talep edecekleri dersten almış oldukları notlarını yükseltmek amacıyla açılır. </w:t>
            </w:r>
          </w:p>
          <w:p w14:paraId="3F9DCC73" w14:textId="77777777" w:rsid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-5024" w:firstLin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B93C1C" w14:textId="77777777" w:rsid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1" w:lineRule="auto"/>
              <w:ind w:left="18" w:right="95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BC0" w14:paraId="68DE3062" w14:textId="77777777" w:rsidTr="005657AD">
        <w:trPr>
          <w:trHeight w:val="1250"/>
        </w:trPr>
        <w:tc>
          <w:tcPr>
            <w:tcW w:w="2791" w:type="dxa"/>
          </w:tcPr>
          <w:p w14:paraId="6806068E" w14:textId="0E78DE51" w:rsidR="00423BC0" w:rsidRPr="00423BC0" w:rsidRDefault="00423BC0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Akademik Takvim</w:t>
            </w:r>
          </w:p>
        </w:tc>
        <w:tc>
          <w:tcPr>
            <w:tcW w:w="706" w:type="dxa"/>
          </w:tcPr>
          <w:p w14:paraId="4A365A70" w14:textId="225AC281" w:rsidR="00423BC0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65" w:type="dxa"/>
          </w:tcPr>
          <w:p w14:paraId="22386743" w14:textId="576F800C" w:rsidR="00423BC0" w:rsidRPr="00423BC0" w:rsidRDefault="00423BC0" w:rsidP="00423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Yaz döneminde ders açılması, derslere kayıt, derslerin başlangıç 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bitişi, sınavlar ve diğer ilgili hususlar Senato tarafından belirlenen akademik takvime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3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göre yürütülür.</w:t>
            </w:r>
          </w:p>
        </w:tc>
      </w:tr>
      <w:tr w:rsidR="002A29E5" w14:paraId="0D188828" w14:textId="77777777" w:rsidTr="005657AD">
        <w:tc>
          <w:tcPr>
            <w:tcW w:w="2791" w:type="dxa"/>
          </w:tcPr>
          <w:p w14:paraId="3B311311" w14:textId="6A5F91E0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Süre</w:t>
            </w:r>
          </w:p>
        </w:tc>
        <w:tc>
          <w:tcPr>
            <w:tcW w:w="706" w:type="dxa"/>
          </w:tcPr>
          <w:p w14:paraId="64B5497E" w14:textId="0EE48291" w:rsidR="002A29E5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5" w:type="dxa"/>
          </w:tcPr>
          <w:p w14:paraId="19D14A35" w14:textId="4BB46C2D" w:rsidR="002A29E5" w:rsidRPr="002A29E5" w:rsidRDefault="002A29E5" w:rsidP="002A2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Dönemi, Bahar ve Güz dönemleri arasındaki süre içinde açılır. Bu dönemde öğrenim süresi sekiz haftayı </w:t>
            </w:r>
            <w:r w:rsidRPr="002A2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geçemez. Yaz Dönemi başlangıç ve bitiş tarihleri Üniversite takviminde yer alır.</w:t>
            </w:r>
          </w:p>
        </w:tc>
      </w:tr>
      <w:tr w:rsidR="00423BC0" w14:paraId="1C41E1FE" w14:textId="77777777" w:rsidTr="005657AD">
        <w:tc>
          <w:tcPr>
            <w:tcW w:w="2791" w:type="dxa"/>
          </w:tcPr>
          <w:p w14:paraId="43FD4AF0" w14:textId="40D75CE9" w:rsidR="00423BC0" w:rsidRDefault="00423BC0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Yaz Dönemi Dersleri </w:t>
            </w:r>
          </w:p>
        </w:tc>
        <w:tc>
          <w:tcPr>
            <w:tcW w:w="706" w:type="dxa"/>
          </w:tcPr>
          <w:p w14:paraId="6730AC6E" w14:textId="6F71B4E3" w:rsidR="00423BC0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5" w:type="dxa"/>
          </w:tcPr>
          <w:p w14:paraId="1021EFAA" w14:textId="7DBD67DE" w:rsidR="00AD72B8" w:rsidRPr="00AD72B8" w:rsidRDefault="00AD72B8" w:rsidP="00AD72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Üniversitenin normal eğitim programlarında yer alan dersler, verilmesi gereken dönemlerde açılır ve bu dersler yaz dönemine ertelenemez.</w:t>
            </w:r>
          </w:p>
          <w:p w14:paraId="0FF5AF7F" w14:textId="78700F79" w:rsidR="00AD72B8" w:rsidRPr="00AD72B8" w:rsidRDefault="00AD72B8" w:rsidP="00AD72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Yaz döneminde açılacak dersler, öğrenci talepleri, dersi verecek olan öğretim elemanının uygunluğu, ilgili bölüm/anabilim dalı başkanlığı önerisi üzerine ilgili yönetim kurulu tarafından belirlenir.</w:t>
            </w:r>
          </w:p>
          <w:p w14:paraId="5153F098" w14:textId="7A1D003B" w:rsidR="00423BC0" w:rsidRPr="00AD72B8" w:rsidRDefault="00AD72B8" w:rsidP="006F7C4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döneminde ders açılabilmesi </w:t>
            </w:r>
            <w:r w:rsidR="006F7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için 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sayısı koşulu aranmaz.</w:t>
            </w:r>
          </w:p>
        </w:tc>
      </w:tr>
      <w:tr w:rsidR="002A29E5" w14:paraId="1FA8564D" w14:textId="77777777" w:rsidTr="005657AD">
        <w:tc>
          <w:tcPr>
            <w:tcW w:w="2791" w:type="dxa"/>
          </w:tcPr>
          <w:p w14:paraId="054210A0" w14:textId="21142B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Kayıtlar </w:t>
            </w:r>
          </w:p>
          <w:p w14:paraId="52848013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0322A5A" w14:textId="78355BDA" w:rsidR="002A29E5" w:rsidRDefault="00AD72B8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5" w:type="dxa"/>
          </w:tcPr>
          <w:p w14:paraId="5F8F832E" w14:textId="459EC188" w:rsidR="00AD72B8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6F7C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krediyi aşmamak koşulu ile </w:t>
            </w:r>
            <w:r w:rsidR="00AD72B8"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fazla 3 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alınabilir.  </w:t>
            </w:r>
          </w:p>
        </w:tc>
      </w:tr>
      <w:tr w:rsidR="002A29E5" w14:paraId="25964B81" w14:textId="77777777" w:rsidTr="005657AD">
        <w:tc>
          <w:tcPr>
            <w:tcW w:w="2791" w:type="dxa"/>
          </w:tcPr>
          <w:p w14:paraId="1803929B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5C1BF47C" w14:textId="7A613B35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377F3162" w14:textId="7EBB2BD6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mezun </w:t>
            </w:r>
            <w:r w:rsidR="006F7C47">
              <w:rPr>
                <w:rFonts w:ascii="Times New Roman" w:eastAsia="Times New Roman" w:hAnsi="Times New Roman" w:cs="Times New Roman"/>
                <w:sz w:val="24"/>
                <w:szCs w:val="24"/>
              </w:rPr>
              <w:t>durumunda olan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öğrenciler için 12 krediyi aşmamak koşulu ile (veya 12 kredilik tek ders alıp mezun olacaksa) ders alınabilir.  </w:t>
            </w:r>
          </w:p>
        </w:tc>
      </w:tr>
      <w:tr w:rsidR="002A29E5" w14:paraId="23BD8415" w14:textId="77777777" w:rsidTr="005657AD">
        <w:tc>
          <w:tcPr>
            <w:tcW w:w="2791" w:type="dxa"/>
          </w:tcPr>
          <w:p w14:paraId="11DB519B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5D67490" w14:textId="7F295D28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2F427634" w14:textId="3627F44C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Bölümlerin temel ve/veya seçmeli program dersleri “Yaz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verilebilir.  </w:t>
            </w:r>
          </w:p>
        </w:tc>
      </w:tr>
      <w:tr w:rsidR="002A29E5" w14:paraId="41D46B02" w14:textId="77777777" w:rsidTr="005657AD">
        <w:tc>
          <w:tcPr>
            <w:tcW w:w="2791" w:type="dxa"/>
          </w:tcPr>
          <w:p w14:paraId="3880CF47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09CB2BB" w14:textId="70E7BFF0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568184E7" w14:textId="295CD9A6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3B4281" w:rsidRPr="003B4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açılması muhtemel dersler yaz dönemi başlangıcından en az (4 hafta) önce Rektörlükçe ilan edilir.  </w:t>
            </w:r>
          </w:p>
        </w:tc>
      </w:tr>
      <w:tr w:rsidR="002A29E5" w14:paraId="1D12EC65" w14:textId="77777777" w:rsidTr="005657AD">
        <w:tc>
          <w:tcPr>
            <w:tcW w:w="2791" w:type="dxa"/>
          </w:tcPr>
          <w:p w14:paraId="0D1A0472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3A293F4A" w14:textId="05BB567F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5B6DC45C" w14:textId="77777777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dersleri almak isteyen öğrenciler, Rektörlükçe belirlenen süre içerisinde “Ön Kayıt” yaparlar.  </w:t>
            </w:r>
          </w:p>
        </w:tc>
      </w:tr>
      <w:tr w:rsidR="002A29E5" w14:paraId="10621F67" w14:textId="77777777" w:rsidTr="005657AD">
        <w:tc>
          <w:tcPr>
            <w:tcW w:w="2791" w:type="dxa"/>
          </w:tcPr>
          <w:p w14:paraId="7A03928A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7619ACA5" w14:textId="7EF206CC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5201212A" w14:textId="1C39F98A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 dersin açılabilmesi için Rektörlüğün tespit edeceği asgari sayıda öğrencinin “Ön Kayıt” yapması gerekir.  </w:t>
            </w:r>
          </w:p>
        </w:tc>
      </w:tr>
      <w:tr w:rsidR="002A29E5" w14:paraId="352BEAD3" w14:textId="77777777" w:rsidTr="005657AD">
        <w:tc>
          <w:tcPr>
            <w:tcW w:w="2791" w:type="dxa"/>
          </w:tcPr>
          <w:p w14:paraId="1F5B6F69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11CDE371" w14:textId="25FBB6F3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229B26CA" w14:textId="1C687057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Derslere “Kesin Kayıt”,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Ders Kayıt Esaslarına” göre yapılır.  </w:t>
            </w:r>
          </w:p>
        </w:tc>
      </w:tr>
      <w:tr w:rsidR="002A29E5" w14:paraId="7D2ADD4B" w14:textId="77777777" w:rsidTr="005657AD">
        <w:tc>
          <w:tcPr>
            <w:tcW w:w="2791" w:type="dxa"/>
          </w:tcPr>
          <w:p w14:paraId="70DC7984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552EA720" w14:textId="44A63F0D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79CE5F4C" w14:textId="77777777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3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İngilizce Hazırlık Okulu’nu başarı ile tamamlayan öğrenciler bulunduğu programın Yaz Dönemi derslerini alabilirler.  </w:t>
            </w:r>
          </w:p>
        </w:tc>
      </w:tr>
      <w:tr w:rsidR="002A29E5" w14:paraId="79B6E068" w14:textId="77777777" w:rsidTr="005657AD">
        <w:tc>
          <w:tcPr>
            <w:tcW w:w="2791" w:type="dxa"/>
          </w:tcPr>
          <w:p w14:paraId="70787BA8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592CCE25" w14:textId="38CDA718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26ED53DC" w14:textId="402FD8E5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9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Öğrenciler, Bahar dönemi sonundaki genel not ortalamasına bağlı olarak,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Sınav, Değerlendirme ve Başarı Esaslarına” göre ve “Yaz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açılması koşulu ile, öncelikle ‘F’, ‘NA’ veya ‘U’ aldıkları derslere kayıt yaptırmak zorundadırlar.  </w:t>
            </w:r>
          </w:p>
        </w:tc>
      </w:tr>
      <w:tr w:rsidR="002A29E5" w14:paraId="62C3B9BC" w14:textId="77777777" w:rsidTr="005657AD">
        <w:tc>
          <w:tcPr>
            <w:tcW w:w="2791" w:type="dxa"/>
          </w:tcPr>
          <w:p w14:paraId="77CBEC8A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3E6696" w14:textId="19E59F46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25F27D75" w14:textId="13D54267" w:rsidR="002A29E5" w:rsidRPr="00AD72B8" w:rsidRDefault="002A29E5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9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 çok (2 dersten) başarısız olup mezuniyeti için yaz döneminde alınabilecek sayıda alınmamış dersi kalan öğrenciler, bu derslerin Yaz 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açılması durumunda başarısız oldukları derslere kayıt yaptırmak zorunda olmayıp bu derslerden “Mezuniyet Dönemi” “Ek Sınav” (</w:t>
            </w:r>
            <w:proofErr w:type="spellStart"/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graduation</w:t>
            </w:r>
            <w:proofErr w:type="spellEnd"/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make-up</w:t>
            </w:r>
            <w:proofErr w:type="spellEnd"/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haklarını kullanabilirler.  </w:t>
            </w:r>
          </w:p>
        </w:tc>
      </w:tr>
      <w:tr w:rsidR="002A29E5" w14:paraId="4A5805D4" w14:textId="77777777" w:rsidTr="005657AD">
        <w:tc>
          <w:tcPr>
            <w:tcW w:w="2791" w:type="dxa"/>
          </w:tcPr>
          <w:p w14:paraId="09B93F09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2B3F8AA" w14:textId="191C04EB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6D5754AB" w14:textId="5E9F21EE" w:rsidR="002A29E5" w:rsidRPr="00AD72B8" w:rsidRDefault="00AD72B8" w:rsidP="00AD72B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29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Yaz Döneminde ders ekleme, ders bırakma ve dersten çekilme uygulanmaz.</w:t>
            </w:r>
          </w:p>
        </w:tc>
      </w:tr>
      <w:tr w:rsidR="002A29E5" w14:paraId="18EA7862" w14:textId="77777777" w:rsidTr="005657AD">
        <w:tc>
          <w:tcPr>
            <w:tcW w:w="2791" w:type="dxa"/>
          </w:tcPr>
          <w:p w14:paraId="6113857C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Başarı ve Değerlendirme </w:t>
            </w:r>
          </w:p>
          <w:p w14:paraId="44F4D983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00494CE9" w14:textId="25AA0662" w:rsidR="002A29E5" w:rsidRDefault="00966347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5" w:type="dxa"/>
          </w:tcPr>
          <w:p w14:paraId="171843B7" w14:textId="59005995" w:rsidR="002A29E5" w:rsidRPr="00966347" w:rsidRDefault="002A29E5" w:rsidP="0096634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29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Öğrencilerin 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aldıkları derslerin dönem sonu notları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Sınav, Değerlendirme ve Başarı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çerçevesinde düzenlenir.  </w:t>
            </w:r>
          </w:p>
        </w:tc>
      </w:tr>
      <w:tr w:rsidR="002A29E5" w14:paraId="7515C693" w14:textId="77777777" w:rsidTr="005657AD">
        <w:tc>
          <w:tcPr>
            <w:tcW w:w="2791" w:type="dxa"/>
          </w:tcPr>
          <w:p w14:paraId="76191295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3AEADF5D" w14:textId="4AE490DE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5F87BACA" w14:textId="7703049E" w:rsidR="002A29E5" w:rsidRPr="00966347" w:rsidRDefault="002A29E5" w:rsidP="0096634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2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alınan dersler, öğrencinin not belgesinde (transkript) “Yaz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başlığı altında ayrı olarak gösterilir.  </w:t>
            </w:r>
          </w:p>
        </w:tc>
      </w:tr>
      <w:tr w:rsidR="002A29E5" w14:paraId="5C4E1B49" w14:textId="77777777" w:rsidTr="005657AD">
        <w:tc>
          <w:tcPr>
            <w:tcW w:w="2791" w:type="dxa"/>
          </w:tcPr>
          <w:p w14:paraId="5F6FE485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629EAA8A" w14:textId="3D96724F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7C01635F" w14:textId="25465170" w:rsidR="002A29E5" w:rsidRPr="00966347" w:rsidRDefault="002A29E5" w:rsidP="0096634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2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 başarı durumu öğrencinin “Genel Not Ortalamasının” (CGPA) belirlenmesinde hesaba katılır. Ancak, </w:t>
            </w:r>
            <w:r w:rsidR="003B4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Yaz D</w:t>
            </w:r>
            <w:r w:rsidR="003B4281">
              <w:rPr>
                <w:rFonts w:ascii="Times New Roman" w:eastAsia="Times New Roman" w:hAnsi="Times New Roman" w:cs="Times New Roman"/>
                <w:sz w:val="24"/>
                <w:szCs w:val="24"/>
              </w:rPr>
              <w:t>önemi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“Fiili Dönem” olarak işlem görmez.</w:t>
            </w:r>
          </w:p>
        </w:tc>
      </w:tr>
      <w:tr w:rsidR="002A29E5" w14:paraId="7FD53602" w14:textId="77777777" w:rsidTr="005657AD">
        <w:tc>
          <w:tcPr>
            <w:tcW w:w="2791" w:type="dxa"/>
          </w:tcPr>
          <w:p w14:paraId="3B79AF63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64A4A12" w14:textId="4FAC1C7C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2B087DF7" w14:textId="391DFBB7" w:rsidR="002A29E5" w:rsidRPr="00966347" w:rsidRDefault="002A29E5" w:rsidP="0096634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42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sonunda, “Genel Not Ortalaması” (CGPA)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Sınav, Değerlendirme ve Başarı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Yönetmeliği’nde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öngörülen limitlerin altına düşen öğrencilere, takip eden dönemde, ilgili Yönetmeliğin aynı maddeleri uyarınca işlem yapılır.  </w:t>
            </w:r>
          </w:p>
        </w:tc>
      </w:tr>
      <w:tr w:rsidR="002A29E5" w14:paraId="4D84273C" w14:textId="77777777" w:rsidTr="005657AD">
        <w:tc>
          <w:tcPr>
            <w:tcW w:w="2791" w:type="dxa"/>
          </w:tcPr>
          <w:p w14:paraId="3185DD4B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778755BE" w14:textId="34F80BE9" w:rsidR="002A29E5" w:rsidRDefault="002A29E5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</w:tcPr>
          <w:p w14:paraId="1DF14F83" w14:textId="3290211E" w:rsidR="002A29E5" w:rsidRPr="00966347" w:rsidRDefault="002A29E5" w:rsidP="0096634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2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Sınav, Değerlendirme ve Başarı 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966347"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ile tanımlanan Mezuniyet Dönemi Ek Sınavı bakımından “son 2 dönem” kapsamında sayılmaz.  </w:t>
            </w:r>
          </w:p>
        </w:tc>
      </w:tr>
      <w:tr w:rsidR="002A29E5" w:rsidRPr="005657AD" w14:paraId="705BB514" w14:textId="77777777" w:rsidTr="005657AD">
        <w:tc>
          <w:tcPr>
            <w:tcW w:w="2791" w:type="dxa"/>
          </w:tcPr>
          <w:p w14:paraId="61E2100C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Ücretler</w:t>
            </w:r>
          </w:p>
        </w:tc>
        <w:tc>
          <w:tcPr>
            <w:tcW w:w="706" w:type="dxa"/>
          </w:tcPr>
          <w:p w14:paraId="388E81BD" w14:textId="27DD7B39" w:rsidR="002A29E5" w:rsidRDefault="00966347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5" w:type="dxa"/>
          </w:tcPr>
          <w:p w14:paraId="4E140048" w14:textId="3D384EE7" w:rsidR="002A29E5" w:rsidRPr="005657AD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1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Yaz </w:t>
            </w:r>
            <w:r w:rsidR="00966347"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</w:t>
            </w:r>
            <w:r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dersleri için Güz ve Bahar yarıyılı ücretlerinden ayrı olarak bir ücret alınır. Öğrencilerin ders başına ödeyeceği ücret Rektörlükçe yaz dönemi başlangıcından en az (4 hafta) önce ilan edilir. Yükümlülükler,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Öğrenim Harç </w:t>
            </w:r>
            <w:r w:rsidR="005657AD"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 w:rsidRP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belirtilmiştir. </w:t>
            </w:r>
          </w:p>
        </w:tc>
      </w:tr>
      <w:tr w:rsidR="002A29E5" w14:paraId="66A04327" w14:textId="77777777" w:rsidTr="005657AD">
        <w:tc>
          <w:tcPr>
            <w:tcW w:w="2791" w:type="dxa"/>
          </w:tcPr>
          <w:p w14:paraId="093EA1D3" w14:textId="5B816149" w:rsidR="002A29E5" w:rsidRDefault="00DF1BE0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ALCU</w:t>
            </w:r>
            <w:r w:rsidR="002A2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Dışındaki Yüksek Öğretim Kurumlarından Yaz </w:t>
            </w:r>
            <w:r w:rsidR="00966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Döneminde</w:t>
            </w:r>
            <w:r w:rsidR="002A2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Ders Alma  </w:t>
            </w:r>
          </w:p>
          <w:p w14:paraId="42D2E24F" w14:textId="77777777" w:rsidR="002A29E5" w:rsidRDefault="002A29E5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F40D58E" w14:textId="6E226D06" w:rsidR="002A29E5" w:rsidRDefault="00966347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5" w:type="dxa"/>
          </w:tcPr>
          <w:p w14:paraId="654D6ECB" w14:textId="2EE56D44" w:rsidR="002A29E5" w:rsidRDefault="002A29E5" w:rsidP="004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Öğrenciler, Yaz </w:t>
            </w:r>
            <w:r w:rsid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Döneminde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dışındaki yüksek öğretim kurumlarından </w:t>
            </w:r>
            <w:r w:rsidRPr="005F2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5F2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Dışarıdan Ders Alma </w:t>
            </w:r>
            <w:r w:rsidR="005F26A4" w:rsidRPr="005F2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 w:rsidRPr="005F2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göre ders alabilirler.  Öğrencinin 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dışından aldığı derslerin harf notları, “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="0056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Muafiyet ve İntibak İşle</w:t>
            </w:r>
            <w:r w:rsid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 </w:t>
            </w:r>
            <w:r w:rsid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çerçevesinde işlenir. </w:t>
            </w:r>
          </w:p>
        </w:tc>
      </w:tr>
      <w:tr w:rsidR="003731F1" w14:paraId="1DF5F2E5" w14:textId="77777777" w:rsidTr="005657AD">
        <w:tc>
          <w:tcPr>
            <w:tcW w:w="2791" w:type="dxa"/>
          </w:tcPr>
          <w:p w14:paraId="229F872A" w14:textId="3A8C2E49" w:rsidR="003731F1" w:rsidRDefault="003731F1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Diğer Konular</w:t>
            </w:r>
          </w:p>
        </w:tc>
        <w:tc>
          <w:tcPr>
            <w:tcW w:w="706" w:type="dxa"/>
          </w:tcPr>
          <w:p w14:paraId="5D112DC6" w14:textId="1FE24D6A" w:rsidR="003731F1" w:rsidRDefault="003731F1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5" w:type="dxa"/>
          </w:tcPr>
          <w:p w14:paraId="7715E4C3" w14:textId="626D1620" w:rsidR="003731F1" w:rsidRDefault="003731F1" w:rsidP="0037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Yönetmelikte açıkça belirtilmeyen durumlarda 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Sınav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Değerlendirme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Başarı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Yönetmeliği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ilgili hükümleri uygulanır.</w:t>
            </w:r>
          </w:p>
        </w:tc>
      </w:tr>
      <w:tr w:rsidR="003731F1" w14:paraId="3F1B58B5" w14:textId="77777777" w:rsidTr="005657AD">
        <w:tc>
          <w:tcPr>
            <w:tcW w:w="2791" w:type="dxa"/>
          </w:tcPr>
          <w:p w14:paraId="172700A8" w14:textId="77777777" w:rsidR="003731F1" w:rsidRPr="003731F1" w:rsidRDefault="003731F1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Yürütme Yetkisi</w:t>
            </w:r>
          </w:p>
          <w:p w14:paraId="47A8F2A5" w14:textId="77777777" w:rsidR="003731F1" w:rsidRPr="003731F1" w:rsidRDefault="003731F1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 w14:paraId="37716C19" w14:textId="1176993E" w:rsidR="003731F1" w:rsidRDefault="003731F1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5" w:type="dxa"/>
          </w:tcPr>
          <w:p w14:paraId="154CD1DA" w14:textId="4E0E8E2E" w:rsidR="003731F1" w:rsidRPr="003731F1" w:rsidRDefault="003731F1" w:rsidP="0037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Yönetmelik 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Rektörlüğü tarafından yürütülür.</w:t>
            </w:r>
          </w:p>
        </w:tc>
      </w:tr>
      <w:tr w:rsidR="003731F1" w14:paraId="2EB01774" w14:textId="77777777" w:rsidTr="005657AD">
        <w:tc>
          <w:tcPr>
            <w:tcW w:w="2791" w:type="dxa"/>
          </w:tcPr>
          <w:p w14:paraId="5A2EFF22" w14:textId="4E09E678" w:rsidR="003731F1" w:rsidRPr="003731F1" w:rsidRDefault="003731F1" w:rsidP="005F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Yürürlük</w:t>
            </w:r>
          </w:p>
        </w:tc>
        <w:tc>
          <w:tcPr>
            <w:tcW w:w="706" w:type="dxa"/>
          </w:tcPr>
          <w:p w14:paraId="57FEAC6B" w14:textId="42979F17" w:rsidR="003731F1" w:rsidRDefault="003731F1" w:rsidP="0045660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5" w:type="dxa"/>
          </w:tcPr>
          <w:p w14:paraId="60296261" w14:textId="5BC7FFBE" w:rsidR="003731F1" w:rsidRPr="003731F1" w:rsidRDefault="003731F1" w:rsidP="00373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29" w:lineRule="auto"/>
              <w:ind w:left="20" w:right="101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Yönetmelik </w:t>
            </w:r>
            <w:r w:rsidR="00DF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Senatosu</w:t>
            </w:r>
            <w:r w:rsidRPr="00373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nun onaylandığı tarihten itibaren yürürlüğe girer.</w:t>
            </w:r>
          </w:p>
        </w:tc>
      </w:tr>
    </w:tbl>
    <w:p w14:paraId="5AD61FD3" w14:textId="77777777" w:rsidR="005508D2" w:rsidRDefault="005508D2"/>
    <w:sectPr w:rsidR="005508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28DE" w14:textId="77777777" w:rsidR="00593EC9" w:rsidRDefault="00593EC9" w:rsidP="005F55F8">
      <w:pPr>
        <w:spacing w:line="240" w:lineRule="auto"/>
      </w:pPr>
      <w:r>
        <w:separator/>
      </w:r>
    </w:p>
  </w:endnote>
  <w:endnote w:type="continuationSeparator" w:id="0">
    <w:p w14:paraId="7185E8A4" w14:textId="77777777" w:rsidR="00593EC9" w:rsidRDefault="00593EC9" w:rsidP="005F5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8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707D" w14:textId="2D8079B3" w:rsidR="005F55F8" w:rsidRDefault="005F55F8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69746805" w14:textId="77777777" w:rsidR="005F55F8" w:rsidRDefault="005F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96E9" w14:textId="77777777" w:rsidR="00593EC9" w:rsidRDefault="00593EC9" w:rsidP="005F55F8">
      <w:pPr>
        <w:spacing w:line="240" w:lineRule="auto"/>
      </w:pPr>
      <w:r>
        <w:separator/>
      </w:r>
    </w:p>
  </w:footnote>
  <w:footnote w:type="continuationSeparator" w:id="0">
    <w:p w14:paraId="3D000BC5" w14:textId="77777777" w:rsidR="00593EC9" w:rsidRDefault="00593EC9" w:rsidP="005F55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72C4C"/>
    <w:multiLevelType w:val="hybridMultilevel"/>
    <w:tmpl w:val="58F41ED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31BEA"/>
    <w:multiLevelType w:val="hybridMultilevel"/>
    <w:tmpl w:val="3A2888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4167"/>
    <w:multiLevelType w:val="hybridMultilevel"/>
    <w:tmpl w:val="83969E92"/>
    <w:lvl w:ilvl="0" w:tplc="835A9F7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52B2D"/>
    <w:multiLevelType w:val="hybridMultilevel"/>
    <w:tmpl w:val="3BE889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F4085"/>
    <w:multiLevelType w:val="hybridMultilevel"/>
    <w:tmpl w:val="C40ECD9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5"/>
    <w:rsid w:val="002A29E5"/>
    <w:rsid w:val="00343EA6"/>
    <w:rsid w:val="003731F1"/>
    <w:rsid w:val="003B4281"/>
    <w:rsid w:val="00423BC0"/>
    <w:rsid w:val="005508D2"/>
    <w:rsid w:val="005657AD"/>
    <w:rsid w:val="00593EC9"/>
    <w:rsid w:val="005F26A4"/>
    <w:rsid w:val="005F55F8"/>
    <w:rsid w:val="006F7C47"/>
    <w:rsid w:val="007317A0"/>
    <w:rsid w:val="007621D0"/>
    <w:rsid w:val="00850874"/>
    <w:rsid w:val="00941EDD"/>
    <w:rsid w:val="00966347"/>
    <w:rsid w:val="00A84BA0"/>
    <w:rsid w:val="00AD72B8"/>
    <w:rsid w:val="00D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7902"/>
  <w15:chartTrackingRefBased/>
  <w15:docId w15:val="{B5E47F3F-803F-4FEF-BB3E-CB647B91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E5"/>
    <w:pPr>
      <w:spacing w:after="0" w:line="276" w:lineRule="auto"/>
    </w:pPr>
    <w:rPr>
      <w:rFonts w:ascii="Arial" w:eastAsia="Arial" w:hAnsi="Arial" w:cs="Arial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9E5"/>
    <w:pPr>
      <w:ind w:left="720"/>
      <w:contextualSpacing/>
    </w:pPr>
  </w:style>
  <w:style w:type="table" w:styleId="TableGrid">
    <w:name w:val="Table Grid"/>
    <w:basedOn w:val="TableNormal"/>
    <w:uiPriority w:val="39"/>
    <w:rsid w:val="002A29E5"/>
    <w:pPr>
      <w:spacing w:after="0" w:line="240" w:lineRule="auto"/>
    </w:pPr>
    <w:rPr>
      <w:rFonts w:ascii="Arial" w:eastAsia="Arial" w:hAnsi="Arial" w:cs="Arial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F8"/>
    <w:rPr>
      <w:rFonts w:ascii="Arial" w:eastAsia="Arial" w:hAnsi="Arial" w:cs="Arial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F5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F8"/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7</cp:revision>
  <dcterms:created xsi:type="dcterms:W3CDTF">2025-09-02T09:36:00Z</dcterms:created>
  <dcterms:modified xsi:type="dcterms:W3CDTF">2025-10-24T13:43:00Z</dcterms:modified>
</cp:coreProperties>
</file>